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7D4956A"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767810">
                                <w:rPr>
                                  <w:rFonts w:ascii="Sansa Lloyds" w:hAnsi="Sansa Lloyds"/>
                                  <w:sz w:val="44"/>
                                  <w:szCs w:val="44"/>
                                </w:rPr>
                                <w:t>1</w:t>
                              </w:r>
                              <w:r w:rsidR="00CE3EFE">
                                <w:rPr>
                                  <w:rFonts w:ascii="Sansa Lloyds" w:hAnsi="Sansa Lloyds"/>
                                  <w:sz w:val="44"/>
                                  <w:szCs w:val="44"/>
                                </w:rPr>
                                <w:t xml:space="preserve"> </w:t>
                              </w:r>
                              <w:r w:rsidR="0002759F">
                                <w:rPr>
                                  <w:rFonts w:ascii="Sansa Lloyds" w:hAnsi="Sansa Lloyds"/>
                                  <w:sz w:val="44"/>
                                  <w:szCs w:val="44"/>
                                </w:rPr>
                                <w:t xml:space="preserve">March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2174B9D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02759F">
                                <w:rPr>
                                  <w:rFonts w:ascii="Sansa Lloyds" w:hAnsi="Sansa Lloyds"/>
                                  <w:sz w:val="28"/>
                                  <w:szCs w:val="28"/>
                                </w:rPr>
                                <w:t>8</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27D4956A"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767810">
                          <w:rPr>
                            <w:rFonts w:ascii="Sansa Lloyds" w:hAnsi="Sansa Lloyds"/>
                            <w:sz w:val="44"/>
                            <w:szCs w:val="44"/>
                          </w:rPr>
                          <w:t>1</w:t>
                        </w:r>
                        <w:r w:rsidR="00CE3EFE">
                          <w:rPr>
                            <w:rFonts w:ascii="Sansa Lloyds" w:hAnsi="Sansa Lloyds"/>
                            <w:sz w:val="44"/>
                            <w:szCs w:val="44"/>
                          </w:rPr>
                          <w:t xml:space="preserve"> </w:t>
                        </w:r>
                        <w:r w:rsidR="0002759F">
                          <w:rPr>
                            <w:rFonts w:ascii="Sansa Lloyds" w:hAnsi="Sansa Lloyds"/>
                            <w:sz w:val="44"/>
                            <w:szCs w:val="44"/>
                          </w:rPr>
                          <w:t xml:space="preserve">March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2174B9D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02759F">
                          <w:rPr>
                            <w:rFonts w:ascii="Sansa Lloyds" w:hAnsi="Sansa Lloyds"/>
                            <w:sz w:val="28"/>
                            <w:szCs w:val="28"/>
                          </w:rPr>
                          <w:t>8</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5"/>
          <w:headerReference w:type="default" r:id="rId16"/>
          <w:footerReference w:type="even" r:id="rId17"/>
          <w:footerReference w:type="default" r:id="rId18"/>
          <w:headerReference w:type="first" r:id="rId19"/>
          <w:footerReference w:type="first" r:id="rId20"/>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0C75005B"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r w:rsidR="0002759F">
              <w:rPr>
                <w:rFonts w:ascii="Arial" w:hAnsi="Arial" w:cs="Arial"/>
                <w:b/>
                <w:sz w:val="22"/>
                <w:szCs w:val="22"/>
              </w:rPr>
              <w:t>7</w:t>
            </w:r>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7F9B64EB"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r w:rsidR="0002759F">
        <w:rPr>
          <w:color w:val="DECC12"/>
        </w:rPr>
        <w:t>7</w:t>
      </w:r>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rFonts w:ascii="Arial" w:hAnsi="Arial" w:cs="Arial"/>
        </w:rPr>
      </w:pPr>
    </w:p>
    <w:p w14:paraId="025BB08B" w14:textId="3D2FBD7F" w:rsidR="001E28B7" w:rsidRDefault="001E28B7" w:rsidP="00811114">
      <w:pPr>
        <w:rPr>
          <w:rFonts w:ascii="Arial" w:hAnsi="Arial" w:cs="Arial"/>
        </w:rPr>
      </w:pPr>
      <w:r>
        <w:rPr>
          <w:rFonts w:ascii="Arial" w:hAnsi="Arial" w:cs="Arial"/>
        </w:rPr>
        <w:t xml:space="preserve">However, the instructions </w:t>
      </w:r>
      <w:r w:rsidR="00A46405">
        <w:rPr>
          <w:rFonts w:ascii="Arial" w:hAnsi="Arial" w:cs="Arial"/>
        </w:rPr>
        <w:t xml:space="preserve">have been updated to reflect the change </w:t>
      </w:r>
      <w:r>
        <w:rPr>
          <w:rFonts w:ascii="Arial" w:hAnsi="Arial" w:cs="Arial"/>
        </w:rPr>
        <w:t>f</w:t>
      </w:r>
      <w:r w:rsidR="00A46405">
        <w:rPr>
          <w:rFonts w:ascii="Arial" w:hAnsi="Arial" w:cs="Arial"/>
        </w:rPr>
        <w:t xml:space="preserve">rom </w:t>
      </w:r>
      <w:r w:rsidR="00605941">
        <w:rPr>
          <w:rFonts w:ascii="Arial" w:hAnsi="Arial" w:cs="Arial"/>
        </w:rPr>
        <w:t xml:space="preserve">the </w:t>
      </w:r>
      <w:r>
        <w:rPr>
          <w:rFonts w:ascii="Arial" w:hAnsi="Arial" w:cs="Arial"/>
        </w:rPr>
        <w:t xml:space="preserve">QMA </w:t>
      </w:r>
      <w:r w:rsidR="00A46405">
        <w:rPr>
          <w:rFonts w:ascii="Arial" w:hAnsi="Arial" w:cs="Arial"/>
        </w:rPr>
        <w:t xml:space="preserve">to QMA Delta, following the QMA ceasing to be required </w:t>
      </w:r>
      <w:r w:rsidR="00A54036">
        <w:rPr>
          <w:rFonts w:ascii="Arial" w:hAnsi="Arial" w:cs="Arial"/>
        </w:rPr>
        <w:t xml:space="preserve">from Q1 </w:t>
      </w:r>
      <w:r w:rsidR="00A46405">
        <w:rPr>
          <w:rFonts w:ascii="Arial" w:hAnsi="Arial" w:cs="Arial"/>
        </w:rPr>
        <w:t>202</w:t>
      </w:r>
      <w:r w:rsidR="00A54036">
        <w:rPr>
          <w:rFonts w:ascii="Arial" w:hAnsi="Arial" w:cs="Arial"/>
        </w:rPr>
        <w:t>5</w:t>
      </w:r>
      <w:r w:rsidR="00A46405">
        <w:rPr>
          <w:rFonts w:ascii="Arial" w:hAnsi="Arial" w:cs="Arial"/>
        </w:rPr>
        <w:t xml:space="preserve">. For Q1, Q2 and Q3 2025, the QSR should be prepared on a consistent basis with how the return has been produced historically. Where cross references exist between the new QMA Delta and the </w:t>
      </w:r>
      <w:r w:rsidR="00605941">
        <w:rPr>
          <w:rFonts w:ascii="Arial" w:hAnsi="Arial" w:cs="Arial"/>
        </w:rPr>
        <w:t>Q</w:t>
      </w:r>
      <w:r w:rsidR="00A46405">
        <w:rPr>
          <w:rFonts w:ascii="Arial" w:hAnsi="Arial" w:cs="Arial"/>
        </w:rPr>
        <w:t xml:space="preserve">SR these have been updated in the file, otherwise the cross reference will be the </w:t>
      </w:r>
      <w:r w:rsidR="00AE4B1F">
        <w:rPr>
          <w:rFonts w:ascii="Arial" w:hAnsi="Arial" w:cs="Arial"/>
        </w:rPr>
        <w:t>UK GAAP</w:t>
      </w:r>
      <w:r w:rsidR="00A46405">
        <w:rPr>
          <w:rFonts w:ascii="Arial" w:hAnsi="Arial" w:cs="Arial"/>
        </w:rPr>
        <w:t xml:space="preserve"> reported figures</w:t>
      </w:r>
      <w:r w:rsidR="00401CE7">
        <w:rPr>
          <w:rFonts w:ascii="Arial" w:hAnsi="Arial" w:cs="Arial"/>
        </w:rPr>
        <w:t>, some historical references have been included to aid in maintaining consistency of reporting.</w:t>
      </w:r>
      <w:r>
        <w:rPr>
          <w:rFonts w:ascii="Arial" w:hAnsi="Arial" w:cs="Arial"/>
        </w:rPr>
        <w:t xml:space="preserve"> </w:t>
      </w: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2"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3128F01D" w14:textId="02D5374C" w:rsidR="00F563B2" w:rsidRPr="00F94045" w:rsidRDefault="00F427F8" w:rsidP="002D5FA6">
      <w:pPr>
        <w:jc w:val="both"/>
        <w:rPr>
          <w:rFonts w:ascii="Arial" w:hAnsi="Arial" w:cs="Arial"/>
        </w:rPr>
      </w:pPr>
      <w:r w:rsidRPr="00281044">
        <w:rPr>
          <w:rFonts w:ascii="Arial" w:hAnsi="Arial" w:cs="Arial"/>
        </w:rPr>
        <w:t xml:space="preserve">Lloyd’s </w:t>
      </w:r>
      <w:r w:rsidR="00B35D35" w:rsidRPr="00281044">
        <w:rPr>
          <w:rFonts w:ascii="Arial" w:hAnsi="Arial" w:cs="Arial"/>
        </w:rPr>
        <w:t xml:space="preserve">has an </w:t>
      </w:r>
      <w:r w:rsidR="00497ED6" w:rsidRPr="00281044">
        <w:rPr>
          <w:rFonts w:ascii="Arial" w:hAnsi="Arial" w:cs="Arial"/>
        </w:rPr>
        <w:t xml:space="preserve">approved </w:t>
      </w:r>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r w:rsidR="00497ED6" w:rsidRPr="00281044">
        <w:rPr>
          <w:rFonts w:ascii="Arial" w:hAnsi="Arial" w:cs="Arial"/>
        </w:rPr>
        <w:t>T</w:t>
      </w:r>
      <w:r w:rsidRPr="00281044">
        <w:rPr>
          <w:rFonts w:ascii="Arial" w:hAnsi="Arial" w:cs="Arial"/>
        </w:rPr>
        <w:t xml:space="preserve">he Society of Lloyd’s and Lloyd’s syndicates </w:t>
      </w:r>
      <w:r w:rsidR="00497ED6" w:rsidRPr="00281044">
        <w:rPr>
          <w:rFonts w:ascii="Arial" w:hAnsi="Arial" w:cs="Arial"/>
        </w:rPr>
        <w:t>are</w:t>
      </w:r>
      <w:r w:rsidRPr="00281044">
        <w:rPr>
          <w:rFonts w:ascii="Arial" w:hAnsi="Arial" w:cs="Arial"/>
        </w:rPr>
        <w:t xml:space="preserve"> required to report under the new taxonomy from Q4 2025. As part of the implementation, Lloyd’s </w:t>
      </w:r>
      <w:r w:rsidR="00A54036" w:rsidRPr="00F94045">
        <w:rPr>
          <w:rFonts w:ascii="Arial" w:hAnsi="Arial" w:cs="Arial"/>
        </w:rPr>
        <w:t xml:space="preserve">are </w:t>
      </w:r>
      <w:r w:rsidRPr="00281044">
        <w:rPr>
          <w:rFonts w:ascii="Arial" w:hAnsi="Arial" w:cs="Arial"/>
        </w:rPr>
        <w:t>required to submit to the PRA data under the new taxonomy for year-end 2024 reporting</w:t>
      </w:r>
      <w:r w:rsidR="00F563B2" w:rsidRPr="00F94045">
        <w:rPr>
          <w:rFonts w:ascii="Arial" w:hAnsi="Arial" w:cs="Arial"/>
        </w:rPr>
        <w:t>.</w:t>
      </w:r>
    </w:p>
    <w:p w14:paraId="441A2EB6" w14:textId="77777777" w:rsidR="00F563B2" w:rsidRPr="00F94045" w:rsidRDefault="00F563B2" w:rsidP="002D5FA6">
      <w:pPr>
        <w:jc w:val="both"/>
        <w:rPr>
          <w:rFonts w:ascii="Arial" w:hAnsi="Arial" w:cs="Arial"/>
        </w:rPr>
      </w:pPr>
    </w:p>
    <w:p w14:paraId="37860C8D" w14:textId="48B7045F" w:rsidR="00F563B2" w:rsidRPr="00F94045" w:rsidRDefault="00F563B2" w:rsidP="00F563B2">
      <w:pPr>
        <w:jc w:val="both"/>
        <w:rPr>
          <w:rFonts w:ascii="Arial" w:hAnsi="Arial" w:cs="Arial"/>
        </w:rPr>
      </w:pPr>
      <w:r w:rsidRPr="00F94045">
        <w:rPr>
          <w:rFonts w:ascii="Arial" w:hAnsi="Arial" w:cs="Arial"/>
        </w:rPr>
        <w:t xml:space="preserve">A Solvency UK market update was held on the 27 March 2025 where Lloyd’s plans for the adoption were shared with the market – </w:t>
      </w:r>
      <w:r w:rsidR="009456CD" w:rsidRPr="00F94045">
        <w:rPr>
          <w:rFonts w:ascii="Arial" w:hAnsi="Arial" w:cs="Arial"/>
        </w:rPr>
        <w:t xml:space="preserve">a </w:t>
      </w:r>
      <w:hyperlink r:id="rId23" w:history="1">
        <w:r w:rsidRPr="00F94045">
          <w:rPr>
            <w:rStyle w:val="Hyperlink"/>
            <w:rFonts w:ascii="Arial" w:hAnsi="Arial" w:cs="Arial"/>
          </w:rPr>
          <w:t>recording</w:t>
        </w:r>
      </w:hyperlink>
      <w:r w:rsidRPr="00F94045">
        <w:rPr>
          <w:rFonts w:ascii="Arial" w:hAnsi="Arial" w:cs="Arial"/>
        </w:rPr>
        <w:t xml:space="preserve"> and </w:t>
      </w:r>
      <w:hyperlink r:id="rId24" w:history="1">
        <w:r w:rsidR="00991166" w:rsidRPr="00F94045">
          <w:rPr>
            <w:rStyle w:val="Hyperlink"/>
            <w:rFonts w:ascii="Arial" w:hAnsi="Arial" w:cs="Arial"/>
          </w:rPr>
          <w:t>slide deck</w:t>
        </w:r>
      </w:hyperlink>
      <w:r w:rsidR="00991166" w:rsidRPr="00F94045">
        <w:rPr>
          <w:rFonts w:ascii="Arial" w:hAnsi="Arial" w:cs="Arial"/>
        </w:rPr>
        <w:t xml:space="preserve"> have been provided</w:t>
      </w:r>
      <w:r w:rsidRPr="00F94045">
        <w:rPr>
          <w:rFonts w:ascii="Arial" w:hAnsi="Arial" w:cs="Arial"/>
        </w:rPr>
        <w:t>.</w:t>
      </w:r>
    </w:p>
    <w:p w14:paraId="2D50622A" w14:textId="77777777" w:rsidR="00F563B2" w:rsidRPr="00F94045" w:rsidRDefault="00F563B2" w:rsidP="00F563B2">
      <w:pPr>
        <w:jc w:val="both"/>
        <w:rPr>
          <w:rFonts w:ascii="Arial" w:hAnsi="Arial" w:cs="Arial"/>
        </w:rPr>
      </w:pPr>
    </w:p>
    <w:p w14:paraId="7224E0BE" w14:textId="542868FC" w:rsidR="00F563B2" w:rsidRPr="00F427F8" w:rsidRDefault="00F563B2" w:rsidP="00F563B2">
      <w:pPr>
        <w:jc w:val="both"/>
        <w:rPr>
          <w:rFonts w:ascii="Arial" w:hAnsi="Arial" w:cs="Arial"/>
        </w:rPr>
      </w:pPr>
      <w:r w:rsidRPr="00F94045">
        <w:rPr>
          <w:rFonts w:ascii="Arial" w:hAnsi="Arial" w:cs="Arial"/>
        </w:rPr>
        <w:t xml:space="preserve">Managing agents are advised to continue analysing the </w:t>
      </w:r>
      <w:hyperlink r:id="rId25" w:history="1">
        <w:r w:rsidRPr="00F94045">
          <w:rPr>
            <w:rStyle w:val="Hyperlink"/>
            <w:rFonts w:ascii="Arial" w:hAnsi="Arial" w:cs="Arial"/>
          </w:rPr>
          <w:t>new reporting requirements</w:t>
        </w:r>
      </w:hyperlink>
      <w:r w:rsidRPr="00F94045">
        <w:rPr>
          <w:rFonts w:ascii="Arial" w:hAnsi="Arial" w:cs="Arial"/>
        </w:rPr>
        <w:t xml:space="preserve"> and close any data gaps identified. Further updates will be provided by Lloyd’s in due course.</w:t>
      </w:r>
    </w:p>
    <w:p w14:paraId="21C13E7F" w14:textId="77777777" w:rsidR="00F563B2" w:rsidRPr="00281044" w:rsidRDefault="00F563B2" w:rsidP="002D5FA6">
      <w:pPr>
        <w:jc w:val="both"/>
        <w:rPr>
          <w:rFonts w:ascii="Arial" w:hAnsi="Arial" w:cs="Arial"/>
        </w:rPr>
      </w:pPr>
    </w:p>
    <w:p w14:paraId="413C13FC" w14:textId="5FE8E938" w:rsidR="00497ED6" w:rsidRPr="00F94045" w:rsidRDefault="00497ED6" w:rsidP="002D5FA6">
      <w:pPr>
        <w:jc w:val="both"/>
        <w:rPr>
          <w:rFonts w:ascii="Arial" w:hAnsi="Arial" w:cs="Arial"/>
          <w:highlight w:val="yellow"/>
        </w:rPr>
      </w:pPr>
      <w:r w:rsidRPr="00281044">
        <w:rPr>
          <w:rFonts w:ascii="Arial" w:hAnsi="Arial" w:cs="Arial"/>
        </w:rPr>
        <w:t xml:space="preserve">In the meantime, there will be minimal changes to Core Market Returns (CMR) in relation to Solvency UK during 2024. Discussions are ongoing with the PRA as to whether any additional ad-hoc information will be required to be collected separately. </w:t>
      </w:r>
    </w:p>
    <w:p w14:paraId="4BDE5040" w14:textId="77777777" w:rsidR="00497ED6" w:rsidRPr="00F94045" w:rsidRDefault="00497ED6" w:rsidP="002D5FA6">
      <w:pPr>
        <w:jc w:val="both"/>
        <w:rPr>
          <w:rFonts w:ascii="Arial" w:hAnsi="Arial" w:cs="Arial"/>
          <w:highlight w:val="yellow"/>
        </w:rPr>
      </w:pP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r w:rsidR="0AF80C30" w:rsidRPr="16CC440F">
        <w:rPr>
          <w:rFonts w:ascii="Arial" w:hAnsi="Arial" w:cs="Arial"/>
        </w:rPr>
        <w:t>,</w:t>
      </w:r>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1CA6076D"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r w:rsidR="00401CE7">
        <w:rPr>
          <w:rFonts w:ascii="Arial" w:hAnsi="Arial" w:cs="Arial"/>
        </w:rPr>
        <w:t xml:space="preserve"> </w:t>
      </w:r>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28779995"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666E3DC1" w:rsidR="000B00E5" w:rsidRDefault="00E63490" w:rsidP="000B00E5">
            <w:pPr>
              <w:spacing w:before="120" w:after="120" w:line="280" w:lineRule="atLeast"/>
              <w:jc w:val="both"/>
              <w:rPr>
                <w:rFonts w:ascii="Arial" w:hAnsi="Arial" w:cs="Arial"/>
              </w:rPr>
            </w:pPr>
            <w:r>
              <w:rPr>
                <w:rFonts w:ascii="Arial" w:hAnsi="Arial" w:cs="Arial"/>
              </w:rPr>
              <w:t>Q</w:t>
            </w:r>
            <w:r w:rsidR="0002759F">
              <w:rPr>
                <w:rFonts w:ascii="Arial" w:hAnsi="Arial" w:cs="Arial"/>
              </w:rPr>
              <w:t>1</w:t>
            </w:r>
            <w:r>
              <w:rPr>
                <w:rFonts w:ascii="Arial" w:hAnsi="Arial" w:cs="Arial"/>
              </w:rPr>
              <w:t xml:space="preserve"> 202</w:t>
            </w:r>
            <w:r w:rsidR="0002759F">
              <w:rPr>
                <w:rFonts w:ascii="Arial" w:hAnsi="Arial" w:cs="Arial"/>
              </w:rPr>
              <w:t>5</w:t>
            </w:r>
          </w:p>
        </w:tc>
        <w:tc>
          <w:tcPr>
            <w:tcW w:w="2815" w:type="dxa"/>
            <w:shd w:val="clear" w:color="auto" w:fill="auto"/>
          </w:tcPr>
          <w:p w14:paraId="1453CC3A" w14:textId="0195ACCC" w:rsidR="000B00E5" w:rsidRDefault="00812124" w:rsidP="000B00E5">
            <w:pPr>
              <w:spacing w:before="120" w:after="120" w:line="280" w:lineRule="atLeast"/>
              <w:jc w:val="both"/>
              <w:rPr>
                <w:rFonts w:ascii="Arial" w:hAnsi="Arial" w:cs="Arial"/>
              </w:rPr>
            </w:pPr>
            <w:r>
              <w:rPr>
                <w:rFonts w:ascii="Arial" w:hAnsi="Arial" w:cs="Arial"/>
              </w:rPr>
              <w:t xml:space="preserve">Tuesday </w:t>
            </w:r>
            <w:r w:rsidR="000D2013">
              <w:rPr>
                <w:rFonts w:ascii="Arial" w:hAnsi="Arial" w:cs="Arial"/>
              </w:rPr>
              <w:t>2</w:t>
            </w:r>
            <w:r w:rsidR="0002759F">
              <w:rPr>
                <w:rFonts w:ascii="Arial" w:hAnsi="Arial" w:cs="Arial"/>
              </w:rPr>
              <w:t>2</w:t>
            </w:r>
            <w:r w:rsidR="00097A6F">
              <w:rPr>
                <w:rFonts w:ascii="Arial" w:hAnsi="Arial" w:cs="Arial"/>
              </w:rPr>
              <w:t xml:space="preserve"> </w:t>
            </w:r>
            <w:r w:rsidR="0002759F">
              <w:rPr>
                <w:rFonts w:ascii="Arial" w:hAnsi="Arial" w:cs="Arial"/>
              </w:rPr>
              <w:t>April</w:t>
            </w:r>
            <w:r>
              <w:rPr>
                <w:rFonts w:ascii="Arial" w:hAnsi="Arial" w:cs="Arial"/>
              </w:rPr>
              <w:t xml:space="preserve"> </w:t>
            </w:r>
            <w:r w:rsidR="000B00E5">
              <w:rPr>
                <w:rFonts w:ascii="Arial" w:hAnsi="Arial" w:cs="Arial"/>
              </w:rPr>
              <w:t>202</w:t>
            </w:r>
            <w:r>
              <w:rPr>
                <w:rFonts w:ascii="Arial" w:hAnsi="Arial" w:cs="Arial"/>
              </w:rPr>
              <w:t>5</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6"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shd w:val="clear" w:color="auto" w:fill="auto"/>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lastRenderedPageBreak/>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0503DFBC"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AAE8D9"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1705C55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401CE7">
        <w:rPr>
          <w:rFonts w:ascii="Arial" w:hAnsi="Arial" w:cs="Arial"/>
        </w:rPr>
        <w:t xml:space="preserve"> or QMA Delta</w:t>
      </w:r>
      <w:r w:rsidRPr="00887B22">
        <w:rPr>
          <w:rFonts w:ascii="Arial" w:hAnsi="Arial" w:cs="Arial"/>
        </w:rPr>
        <w:t xml:space="preserve">.  Furthermore, any adjustments made to technical provisions for Solvency II purposes shall be based on the underlying technical provisions reported in the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r w:rsidR="004A1C88" w:rsidRPr="006F54CB">
        <w:rPr>
          <w:rFonts w:ascii="Arial" w:hAnsi="Arial" w:cs="Arial"/>
          <w:sz w:val="22"/>
          <w:szCs w:val="22"/>
          <w:u w:val="none"/>
        </w:rPr>
        <w:t>Equitas</w:t>
      </w:r>
      <w:bookmarkEnd w:id="1692"/>
      <w:bookmarkEnd w:id="1693"/>
      <w:bookmarkEnd w:id="1694"/>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332382BF"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5074D6">
        <w:rPr>
          <w:rFonts w:ascii="Arial" w:hAnsi="Arial" w:cs="Arial"/>
          <w:sz w:val="20"/>
        </w:rPr>
        <w:t>1</w:t>
      </w:r>
      <w:r w:rsidR="00CE3EFE">
        <w:rPr>
          <w:rFonts w:ascii="Arial" w:hAnsi="Arial" w:cs="Arial"/>
          <w:sz w:val="20"/>
        </w:rPr>
        <w:t xml:space="preserve"> </w:t>
      </w:r>
      <w:r w:rsidR="00BE251A">
        <w:rPr>
          <w:rFonts w:ascii="Arial" w:hAnsi="Arial" w:cs="Arial"/>
          <w:sz w:val="20"/>
        </w:rPr>
        <w:t xml:space="preserve">March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 xml:space="preserve">where they consider that this would help Lloyd’s understand the approach taken in the completion of </w:t>
      </w:r>
      <w:r w:rsidRPr="00BE75F9">
        <w:rPr>
          <w:rFonts w:ascii="Arial" w:hAnsi="Arial" w:cs="Arial"/>
          <w:b w:val="0"/>
          <w:sz w:val="20"/>
        </w:rPr>
        <w:lastRenderedPageBreak/>
        <w:t>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r w:rsidR="001906FE">
        <w:rPr>
          <w:rFonts w:ascii="Arial" w:hAnsi="Arial" w:cs="Arial"/>
          <w:spacing w:val="-2"/>
          <w:kern w:val="28"/>
          <w:sz w:val="20"/>
          <w:lang w:val="en-GB" w:eastAsia="en-GB"/>
        </w:rPr>
        <w:t>,</w:t>
      </w:r>
      <w:r w:rsidRPr="00BE75F9">
        <w:rPr>
          <w:rFonts w:ascii="Arial" w:hAnsi="Arial" w:cs="Arial"/>
          <w:spacing w:val="-2"/>
          <w:kern w:val="28"/>
          <w:sz w:val="20"/>
          <w:lang w:val="en-GB" w:eastAsia="en-GB"/>
        </w:rPr>
        <w:t xml:space="preserve"> such as </w:t>
      </w:r>
      <w:r w:rsidR="00C45633">
        <w:rPr>
          <w:rFonts w:ascii="Arial" w:hAnsi="Arial" w:cs="Arial"/>
          <w:spacing w:val="-2"/>
          <w:kern w:val="28"/>
          <w:sz w:val="20"/>
          <w:lang w:val="en-GB" w:eastAsia="en-GB"/>
        </w:rPr>
        <w:t>the historica</w:t>
      </w:r>
      <w:r w:rsidR="001906FE">
        <w:rPr>
          <w:rFonts w:ascii="Arial" w:hAnsi="Arial" w:cs="Arial"/>
          <w:spacing w:val="-2"/>
          <w:kern w:val="28"/>
          <w:sz w:val="20"/>
          <w:lang w:val="en-GB" w:eastAsia="en-GB"/>
        </w:rPr>
        <w:t>l</w:t>
      </w:r>
      <w:r w:rsidR="00C45633">
        <w:rPr>
          <w:rFonts w:ascii="Arial" w:hAnsi="Arial" w:cs="Arial"/>
          <w:spacing w:val="-2"/>
          <w:kern w:val="28"/>
          <w:sz w:val="20"/>
          <w:lang w:val="en-GB" w:eastAsia="en-GB"/>
        </w:rPr>
        <w:t xml:space="preserve"> adjustments </w:t>
      </w:r>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415622F6"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DAC is reported in Line 3 of the QSR 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7"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3C5C2F0E"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 Column A</w:t>
      </w:r>
    </w:p>
    <w:p w14:paraId="1F3376DB" w14:textId="772D8B32"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r w:rsidR="0006731D">
        <w:rPr>
          <w:rFonts w:ascii="Arial" w:hAnsi="Arial" w:cs="Arial"/>
        </w:rPr>
        <w:t xml:space="preserve">. </w:t>
      </w:r>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r w:rsidR="00B55FEB">
        <w:rPr>
          <w:rFonts w:ascii="Arial" w:hAnsi="Arial" w:cs="Arial"/>
        </w:rPr>
        <w:t>i</w:t>
      </w:r>
      <w:r w:rsidR="00BE2655">
        <w:rPr>
          <w:rFonts w:ascii="Arial" w:hAnsi="Arial" w:cs="Arial"/>
        </w:rPr>
        <w:t xml:space="preserve">t is expected that </w:t>
      </w:r>
      <w:r w:rsidR="00817CB0">
        <w:rPr>
          <w:rFonts w:ascii="Arial" w:hAnsi="Arial" w:cs="Arial"/>
        </w:rPr>
        <w:t>t</w:t>
      </w:r>
      <w:r w:rsidR="006F2084">
        <w:rPr>
          <w:rFonts w:ascii="Arial" w:hAnsi="Arial" w:cs="Arial"/>
        </w:rPr>
        <w:t xml:space="preserve">he </w:t>
      </w:r>
      <w:r w:rsidR="007B3AB7">
        <w:rPr>
          <w:rFonts w:ascii="Arial" w:hAnsi="Arial" w:cs="Arial"/>
        </w:rPr>
        <w:t xml:space="preserve">underlying mapping from </w:t>
      </w:r>
      <w:r w:rsidR="008C621C">
        <w:rPr>
          <w:rFonts w:ascii="Arial" w:hAnsi="Arial" w:cs="Arial"/>
        </w:rPr>
        <w:t>UK</w:t>
      </w:r>
      <w:r w:rsidR="001E5D71">
        <w:rPr>
          <w:rFonts w:ascii="Arial" w:hAnsi="Arial" w:cs="Arial"/>
        </w:rPr>
        <w:t xml:space="preserve"> </w:t>
      </w:r>
      <w:r w:rsidR="008C621C">
        <w:rPr>
          <w:rFonts w:ascii="Arial" w:hAnsi="Arial" w:cs="Arial"/>
        </w:rPr>
        <w:t xml:space="preserve">GAAP accounting ledgers </w:t>
      </w:r>
      <w:r w:rsidR="00817CB0">
        <w:rPr>
          <w:rFonts w:ascii="Arial" w:hAnsi="Arial" w:cs="Arial"/>
        </w:rPr>
        <w:t xml:space="preserve">should remain </w:t>
      </w:r>
      <w:r w:rsidR="00B55FEB">
        <w:rPr>
          <w:rFonts w:ascii="Arial" w:hAnsi="Arial" w:cs="Arial"/>
        </w:rPr>
        <w:t xml:space="preserve">consistent </w:t>
      </w:r>
      <w:r w:rsidR="00817CB0">
        <w:rPr>
          <w:rFonts w:ascii="Arial" w:hAnsi="Arial" w:cs="Arial"/>
        </w:rPr>
        <w:t xml:space="preserve">with </w:t>
      </w:r>
      <w:r w:rsidR="008C621C">
        <w:rPr>
          <w:rFonts w:ascii="Arial" w:hAnsi="Arial" w:cs="Arial"/>
        </w:rPr>
        <w:t>prior reporting</w:t>
      </w:r>
      <w:r w:rsidR="00B55FEB">
        <w:rPr>
          <w:rFonts w:ascii="Arial" w:hAnsi="Arial" w:cs="Arial"/>
        </w:rPr>
        <w:t xml:space="preserve"> </w:t>
      </w:r>
      <w:r w:rsidR="00EB28EE">
        <w:rPr>
          <w:rFonts w:ascii="Arial" w:hAnsi="Arial" w:cs="Arial"/>
        </w:rPr>
        <w:t>where appropriate.</w:t>
      </w:r>
      <w:r w:rsidR="00B333E1">
        <w:rPr>
          <w:rFonts w:ascii="Arial" w:hAnsi="Arial" w:cs="Arial"/>
        </w:rPr>
        <w:t xml:space="preserve"> </w:t>
      </w:r>
    </w:p>
    <w:p w14:paraId="146368F5" w14:textId="77777777" w:rsidR="001F26D4" w:rsidRDefault="001F26D4" w:rsidP="001F26D4">
      <w:pPr>
        <w:spacing w:after="120" w:line="280" w:lineRule="atLeast"/>
        <w:rPr>
          <w:rFonts w:ascii="Arial" w:hAnsi="Arial" w:cs="Arial"/>
          <w:spacing w:val="-2"/>
          <w:kern w:val="28"/>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28">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lastRenderedPageBreak/>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lastRenderedPageBreak/>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lastRenderedPageBreak/>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3F68C37A"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9"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3397E0B4"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244A726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r w:rsidR="006F2084">
        <w:rPr>
          <w:rFonts w:ascii="Arial" w:hAnsi="Arial" w:cs="Arial"/>
        </w:rPr>
        <w:t>U</w:t>
      </w:r>
      <w:r w:rsidRPr="001F26D4">
        <w:rPr>
          <w:rFonts w:ascii="Arial" w:hAnsi="Arial" w:cs="Arial"/>
        </w:rPr>
        <w:t>K GAAP</w:t>
      </w:r>
      <w:r w:rsidR="006F2084">
        <w:rPr>
          <w:rFonts w:ascii="Arial" w:hAnsi="Arial" w:cs="Arial"/>
        </w:rPr>
        <w:t xml:space="preserve"> result </w:t>
      </w:r>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 xml:space="preserve">with a CIC category of </w:t>
      </w:r>
      <w:r w:rsidRPr="000E0E03">
        <w:rPr>
          <w:rFonts w:ascii="Arial" w:hAnsi="Arial" w:cs="Arial"/>
          <w:color w:val="000000"/>
        </w:rPr>
        <w:lastRenderedPageBreak/>
        <w:t>##1#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lastRenderedPageBreak/>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8739C2A"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r w:rsidR="00617884">
        <w:rPr>
          <w:rFonts w:ascii="Arial" w:hAnsi="Arial" w:cs="Arial"/>
          <w:bCs/>
          <w:color w:val="000000"/>
        </w:rPr>
        <w:t>c</w:t>
      </w:r>
      <w:r w:rsidR="00A914EC" w:rsidRPr="00E76B9B">
        <w:rPr>
          <w:rFonts w:ascii="Arial" w:hAnsi="Arial" w:cs="Arial"/>
          <w:bCs/>
          <w:color w:val="000000"/>
        </w:rPr>
        <w:t xml:space="preserve">entral </w:t>
      </w:r>
      <w:r w:rsidR="00617884">
        <w:rPr>
          <w:rFonts w:ascii="Arial" w:hAnsi="Arial" w:cs="Arial"/>
          <w:bCs/>
          <w:color w:val="000000"/>
        </w:rPr>
        <w:t>f</w:t>
      </w:r>
      <w:r w:rsidR="00A914EC" w:rsidRPr="00E76B9B">
        <w:rPr>
          <w:rFonts w:ascii="Arial" w:hAnsi="Arial" w:cs="Arial"/>
          <w:bCs/>
          <w:color w:val="000000"/>
        </w:rPr>
        <w:t xml:space="preserve">und” </w:t>
      </w:r>
      <w:r w:rsidR="00617884">
        <w:rPr>
          <w:rFonts w:ascii="Arial" w:hAnsi="Arial" w:cs="Arial"/>
          <w:bCs/>
          <w:color w:val="000000"/>
        </w:rPr>
        <w:t>in the Syndicate Accounts</w:t>
      </w:r>
      <w:r w:rsidR="00A914EC"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A914EC" w:rsidRPr="00E76B9B">
        <w:rPr>
          <w:rFonts w:ascii="Arial" w:hAnsi="Arial" w:cs="Arial"/>
          <w:bCs/>
          <w:color w:val="000000"/>
        </w:rPr>
        <w:t>part of financial investments</w:t>
      </w:r>
      <w:r w:rsidR="00617884">
        <w:rPr>
          <w:rFonts w:ascii="Arial" w:hAnsi="Arial" w:cs="Arial"/>
          <w:bCs/>
          <w:color w:val="000000"/>
        </w:rPr>
        <w:t xml:space="preserve"> and analysed further in </w:t>
      </w:r>
      <w:r w:rsidR="00134971">
        <w:rPr>
          <w:rFonts w:ascii="Arial" w:hAnsi="Arial" w:cs="Arial"/>
          <w:bCs/>
          <w:color w:val="000000"/>
        </w:rPr>
        <w:t>t</w:t>
      </w:r>
      <w:r w:rsidR="00617884">
        <w:rPr>
          <w:rFonts w:ascii="Arial" w:hAnsi="Arial" w:cs="Arial"/>
          <w:bCs/>
          <w:color w:val="000000"/>
        </w:rPr>
        <w:t>he Financial Investments note disclosure</w:t>
      </w:r>
      <w:r w:rsidR="00A914EC" w:rsidRPr="00E76B9B">
        <w:rPr>
          <w:rFonts w:ascii="Arial" w:hAnsi="Arial" w:cs="Arial"/>
          <w:bCs/>
          <w:color w:val="000000"/>
        </w:rPr>
        <w:t>).</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lastRenderedPageBreak/>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30"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7999A7D0"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ie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31" w:history="1">
        <w:r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lastRenderedPageBreak/>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2"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3"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F94045"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
      </w:pPr>
      <w:r w:rsidRPr="00F94045">
        <w:rPr>
          <w:rFonts w:asciiTheme="minorBidi" w:hAnsiTheme="minorBidi" w:cstheme="minorBidi"/>
          <w:color w:val="000000"/>
          <w:lang w:val="en-US"/>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4"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 xml:space="preserve">replicable/hedgeable.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5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lastRenderedPageBreak/>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w:t>
      </w:r>
      <w:r w:rsidRPr="006C6FB3">
        <w:rPr>
          <w:rFonts w:ascii="Arial" w:hAnsi="Arial" w:cs="Arial"/>
          <w:color w:val="000000"/>
          <w:lang w:val="en-US"/>
        </w:rPr>
        <w:lastRenderedPageBreak/>
        <w:t xml:space="preserve">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16C7E0BC" w:rsidR="00742F25" w:rsidRPr="002E7FAD" w:rsidRDefault="009F3B9D" w:rsidP="00742F25">
      <w:pPr>
        <w:spacing w:line="280" w:lineRule="atLeast"/>
        <w:rPr>
          <w:rFonts w:ascii="Arial" w:hAnsi="Arial" w:cs="Arial"/>
        </w:rPr>
      </w:pPr>
      <w:r w:rsidRPr="002E7FAD">
        <w:rPr>
          <w:rFonts w:ascii="Arial" w:hAnsi="Arial" w:cs="Arial"/>
        </w:rPr>
        <w:lastRenderedPageBreak/>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r w:rsidR="002A3F51">
        <w:rPr>
          <w:rFonts w:ascii="Arial" w:hAnsi="Arial" w:cs="Arial"/>
        </w:rPr>
        <w:t>addition,</w:t>
      </w:r>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52118F9C" w14:textId="51CA14EF" w:rsidR="00353D8B" w:rsidRPr="002E7FAD" w:rsidRDefault="00353D8B" w:rsidP="00117046">
      <w:pPr>
        <w:spacing w:line="280" w:lineRule="atLeast"/>
        <w:rPr>
          <w:rFonts w:ascii="Arial" w:hAnsi="Arial" w:cs="Arial"/>
          <w:color w:val="000000" w:themeColor="text1"/>
        </w:rPr>
      </w:pPr>
      <w:r>
        <w:rPr>
          <w:rFonts w:ascii="Arial" w:hAnsi="Arial" w:cs="Arial"/>
          <w:color w:val="000000" w:themeColor="text1"/>
        </w:rPr>
        <w: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t>
      </w:r>
    </w:p>
    <w:p w14:paraId="723FF059" w14:textId="50CD1462" w:rsidR="002A3F51" w:rsidRDefault="002A3F51" w:rsidP="002A3F51">
      <w:pPr>
        <w:spacing w:before="120" w:line="280" w:lineRule="atLeast"/>
        <w:rPr>
          <w:rFonts w:ascii="Arial" w:hAnsi="Arial" w:cs="Arial"/>
          <w:color w:val="000000" w:themeColor="text1"/>
        </w:rPr>
      </w:pPr>
      <w:r>
        <w:rPr>
          <w:rFonts w:ascii="Arial" w:hAnsi="Arial" w:cs="Arial"/>
          <w:color w:val="000000" w:themeColor="text1"/>
        </w:rPr>
        <w:t xml:space="preserve">For </w:t>
      </w:r>
      <w:r w:rsidR="004A6BA8" w:rsidRPr="002E7FAD">
        <w:rPr>
          <w:rFonts w:ascii="Arial" w:hAnsi="Arial" w:cs="Arial"/>
          <w:color w:val="000000" w:themeColor="text1"/>
        </w:rPr>
        <w:t xml:space="preserve">Syndicates that </w:t>
      </w:r>
      <w:r>
        <w:rPr>
          <w:rFonts w:ascii="Arial" w:hAnsi="Arial" w:cs="Arial"/>
          <w:color w:val="000000" w:themeColor="text1"/>
        </w:rPr>
        <w:t xml:space="preserve">have capital provided by members in </w:t>
      </w:r>
      <w:r w:rsidR="004A6BA8" w:rsidRPr="002E7FAD">
        <w:rPr>
          <w:rFonts w:ascii="Arial" w:hAnsi="Arial" w:cs="Arial"/>
          <w:color w:val="000000" w:themeColor="text1"/>
        </w:rPr>
        <w:t>“Funds in syndicate”</w:t>
      </w:r>
      <w:r>
        <w:rPr>
          <w:rFonts w:ascii="Arial" w:hAnsi="Arial" w:cs="Arial"/>
          <w:color w:val="000000" w:themeColor="text1"/>
        </w:rPr>
        <w:t xml:space="preserve">, </w:t>
      </w:r>
      <w:r w:rsidR="004A6BA8" w:rsidRPr="002E7FAD">
        <w:rPr>
          <w:rFonts w:ascii="Arial" w:hAnsi="Arial" w:cs="Arial"/>
          <w:color w:val="000000" w:themeColor="text1"/>
        </w:rPr>
        <w:t xml:space="preserve">whereby these items were a part of “Balance due from members” </w:t>
      </w:r>
      <w:r>
        <w:rPr>
          <w:rFonts w:ascii="Arial" w:hAnsi="Arial" w:cs="Arial"/>
          <w:color w:val="000000" w:themeColor="text1"/>
        </w:rPr>
        <w:t xml:space="preserve">under </w:t>
      </w:r>
      <w:r w:rsidR="00AE4B1F">
        <w:rPr>
          <w:rFonts w:ascii="Arial" w:hAnsi="Arial" w:cs="Arial"/>
          <w:color w:val="000000" w:themeColor="text1"/>
        </w:rPr>
        <w:t>UK GAAP</w:t>
      </w:r>
      <w:r>
        <w:rPr>
          <w:rFonts w:ascii="Arial" w:hAnsi="Arial" w:cs="Arial"/>
          <w:color w:val="000000" w:themeColor="text1"/>
        </w:rPr>
        <w:t>, you</w:t>
      </w:r>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r>
        <w:rPr>
          <w:rFonts w:ascii="Arial" w:hAnsi="Arial" w:cs="Arial"/>
          <w:color w:val="000000" w:themeColor="text1"/>
        </w:rPr>
        <w:t>.</w:t>
      </w:r>
    </w:p>
    <w:p w14:paraId="1814F59C" w14:textId="04BC133E" w:rsidR="004E4E58" w:rsidRPr="002E7FAD"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There is a </w:t>
      </w:r>
      <w:r w:rsidR="004E4E58">
        <w:rPr>
          <w:rFonts w:ascii="Arial" w:hAnsi="Arial" w:cs="Arial"/>
          <w:color w:val="000000" w:themeColor="text1"/>
        </w:rPr>
        <w:t>cross validation between QSR002 Column C of Line 92 “Funds in Syndicate (FIS)” and QSR220 Column B of Line 1 “Members’ contributions (Funds in Syndicate - FIS) whereby both are expected to equal.</w:t>
      </w:r>
    </w:p>
    <w:p w14:paraId="76128630" w14:textId="5122B6AF" w:rsidR="00353D8B"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It is expected that after the adjustments have been made in line 91 and line 92 that the total in line </w:t>
      </w:r>
      <w:r w:rsidR="002A3F51">
        <w:rPr>
          <w:rFonts w:ascii="Arial" w:hAnsi="Arial" w:cs="Arial"/>
          <w:color w:val="000000" w:themeColor="text1"/>
        </w:rPr>
        <w:t>93 will equal line 89.</w:t>
      </w:r>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1DAE06A"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BE251A">
        <w:rPr>
          <w:rFonts w:ascii="Arial" w:hAnsi="Arial" w:cs="Arial"/>
          <w:b/>
        </w:rPr>
        <w:t>6</w:t>
      </w:r>
      <w:r w:rsidRPr="002E7FAD">
        <w:rPr>
          <w:rFonts w:ascii="Arial" w:hAnsi="Arial" w:cs="Arial"/>
          <w:b/>
        </w:rPr>
        <w:t xml:space="preserve"> for 31 December </w:t>
      </w:r>
      <w:r w:rsidR="00FA0A14">
        <w:rPr>
          <w:rFonts w:ascii="Arial" w:hAnsi="Arial" w:cs="Arial"/>
          <w:b/>
        </w:rPr>
        <w:t>202</w:t>
      </w:r>
      <w:r w:rsidR="00BE251A">
        <w:rPr>
          <w:rFonts w:ascii="Arial" w:hAnsi="Arial" w:cs="Arial"/>
          <w:b/>
        </w:rPr>
        <w:t>5</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58ABA60A"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1E28B7">
        <w:rPr>
          <w:rFonts w:ascii="Arial" w:hAnsi="Arial" w:cs="Arial"/>
          <w:b/>
        </w:rPr>
        <w:t>5</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1E28B7">
        <w:rPr>
          <w:rFonts w:ascii="Arial" w:hAnsi="Arial" w:cs="Arial"/>
          <w:b/>
        </w:rPr>
        <w:t>6</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0DA4C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42772349"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year will be zero.</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6F917BD0"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lastRenderedPageBreak/>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4ADD6E33"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AE3F31D"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r w:rsidR="00973A99">
        <w:rPr>
          <w:rFonts w:ascii="Arial" w:hAnsi="Arial" w:cs="Arial"/>
        </w:rPr>
        <w:t>,</w:t>
      </w:r>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r w:rsidR="002A3F51">
        <w:rPr>
          <w:rFonts w:ascii="Arial" w:hAnsi="Arial" w:cs="Arial"/>
        </w:rPr>
        <w:t xml:space="preserve">included in </w:t>
      </w:r>
      <w:r w:rsidR="00AE4B1F">
        <w:rPr>
          <w:rFonts w:ascii="Arial" w:hAnsi="Arial" w:cs="Arial"/>
        </w:rPr>
        <w:t>UK GAAP</w:t>
      </w:r>
      <w:r w:rsidR="002A3F51">
        <w:rPr>
          <w:rFonts w:ascii="Arial" w:hAnsi="Arial" w:cs="Arial"/>
        </w:rPr>
        <w:t xml:space="preserve"> reporting</w:t>
      </w:r>
      <w:r w:rsidR="00973A99">
        <w:rPr>
          <w:rFonts w:ascii="Arial" w:hAnsi="Arial" w:cs="Arial"/>
        </w:rPr>
        <w:t xml:space="preserve">, </w:t>
      </w:r>
      <w:r w:rsidR="00555D66">
        <w:rPr>
          <w:rFonts w:ascii="Arial" w:hAnsi="Arial" w:cs="Arial"/>
        </w:rPr>
        <w:t xml:space="preserve">as expected to be reported </w:t>
      </w:r>
      <w:r w:rsidR="00973A99">
        <w:rPr>
          <w:rFonts w:ascii="Arial" w:hAnsi="Arial" w:cs="Arial"/>
        </w:rPr>
        <w:t>in the Illustrative Accounts,</w:t>
      </w:r>
      <w:r w:rsidR="002A3F51">
        <w:rPr>
          <w:rFonts w:ascii="Arial" w:hAnsi="Arial" w:cs="Arial"/>
        </w:rPr>
        <w:t xml:space="preserve"> of Provision for</w:t>
      </w:r>
      <w:r w:rsidRPr="00B52191">
        <w:rPr>
          <w:rFonts w:ascii="Arial" w:hAnsi="Arial" w:cs="Arial"/>
        </w:rPr>
        <w:t xml:space="preserve"> unearned premiums</w:t>
      </w:r>
      <w:r w:rsidR="002A3F51">
        <w:rPr>
          <w:rFonts w:ascii="Arial" w:hAnsi="Arial" w:cs="Arial"/>
        </w:rPr>
        <w:t xml:space="preserve"> (under Reinsurers’ share of Technical Provisions) </w:t>
      </w:r>
      <w:r w:rsidRPr="00B52191">
        <w:rPr>
          <w:rFonts w:ascii="Arial" w:hAnsi="Arial" w:cs="Arial"/>
        </w:rPr>
        <w:t>and Provision for unearned premiums</w:t>
      </w:r>
      <w:r w:rsidR="002A3F51">
        <w:rPr>
          <w:rFonts w:ascii="Arial" w:hAnsi="Arial" w:cs="Arial"/>
        </w:rPr>
        <w:t xml:space="preserve"> (under Technical Provisions)</w:t>
      </w:r>
      <w:r w:rsidRPr="00B52191">
        <w:rPr>
          <w:rFonts w:ascii="Arial" w:hAnsi="Arial" w:cs="Arial"/>
        </w:rPr>
        <w:t>.</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20F16B23"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r w:rsidR="00973A99">
        <w:rPr>
          <w:rFonts w:ascii="Arial" w:hAnsi="Arial" w:cs="Arial"/>
        </w:rPr>
        <w:t xml:space="preserve">Under </w:t>
      </w:r>
      <w:r w:rsidR="00AE4B1F">
        <w:rPr>
          <w:rFonts w:ascii="Arial" w:hAnsi="Arial" w:cs="Arial"/>
        </w:rPr>
        <w:t>UK GAAP</w:t>
      </w:r>
      <w:r w:rsidR="00973A99">
        <w:rPr>
          <w:rFonts w:ascii="Arial" w:hAnsi="Arial" w:cs="Arial"/>
        </w:rPr>
        <w:t xml:space="preserve"> reporting, reflected in the Illustrative Accounts, the D</w:t>
      </w:r>
      <w:r w:rsidR="00881086">
        <w:rPr>
          <w:rFonts w:ascii="Arial" w:hAnsi="Arial" w:cs="Arial"/>
        </w:rPr>
        <w:t xml:space="preserve">eferred acquisition costs (under Accruals and Deferred Income) should be </w:t>
      </w:r>
      <w:r w:rsidR="00973A99">
        <w:rPr>
          <w:rFonts w:ascii="Arial" w:hAnsi="Arial" w:cs="Arial"/>
        </w:rPr>
        <w:t>reflected on QSR002</w:t>
      </w:r>
      <w:r w:rsidR="00881086">
        <w:rPr>
          <w:rFonts w:ascii="Arial" w:hAnsi="Arial" w:cs="Arial"/>
        </w:rPr>
        <w:t xml:space="preserve"> column A</w:t>
      </w:r>
      <w:r w:rsidR="00973A99">
        <w:rPr>
          <w:rFonts w:ascii="Arial" w:hAnsi="Arial" w:cs="Arial"/>
        </w:rPr>
        <w:t xml:space="preserve"> </w:t>
      </w:r>
      <w:r w:rsidR="00881086">
        <w:rPr>
          <w:rFonts w:ascii="Arial" w:hAnsi="Arial" w:cs="Arial"/>
        </w:rPr>
        <w:t>l</w:t>
      </w:r>
      <w:r w:rsidR="00973A99">
        <w:rPr>
          <w:rFonts w:ascii="Arial" w:hAnsi="Arial" w:cs="Arial"/>
        </w:rPr>
        <w:t xml:space="preserve">ine 2 </w:t>
      </w:r>
      <w:r w:rsidR="00881086">
        <w:rPr>
          <w:rFonts w:ascii="Arial" w:hAnsi="Arial" w:cs="Arial"/>
        </w:rPr>
        <w:t>and the Reinsurers share of deferred acquisition costs (under Creditors) should be reflected on QSR002 column A line 87</w:t>
      </w:r>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1910"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lastRenderedPageBreak/>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68A7EC2A"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0D1BE7EB"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r w:rsidR="00881086">
        <w:rPr>
          <w:rFonts w:ascii="Arial" w:hAnsi="Arial" w:cs="Arial"/>
        </w:rPr>
        <w:t xml:space="preserve">                </w:t>
      </w:r>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lastRenderedPageBreak/>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384701B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1E28B7">
        <w:rPr>
          <w:rFonts w:ascii="Arial" w:hAnsi="Arial" w:cs="Arial"/>
        </w:rPr>
        <w:t>5</w:t>
      </w:r>
      <w:r w:rsidRPr="00274CCC">
        <w:rPr>
          <w:rFonts w:ascii="Arial" w:hAnsi="Arial" w:cs="Arial"/>
        </w:rPr>
        <w:t xml:space="preserve"> QSR reporting, the SCR figure should be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1E28B7">
        <w:rPr>
          <w:rFonts w:ascii="Arial" w:hAnsi="Arial" w:cs="Arial"/>
        </w:rPr>
        <w:t>5</w:t>
      </w:r>
      <w:r w:rsidRPr="00274CCC">
        <w:rPr>
          <w:rFonts w:ascii="Arial" w:hAnsi="Arial" w:cs="Arial"/>
        </w:rPr>
        <w:t xml:space="preserv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1E28B7">
        <w:rPr>
          <w:rFonts w:ascii="Arial" w:hAnsi="Arial" w:cs="Arial"/>
        </w:rPr>
        <w:t>5</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1E28B7">
        <w:rPr>
          <w:rFonts w:ascii="Arial" w:hAnsi="Arial" w:cs="Arial"/>
        </w:rPr>
        <w:t>5</w:t>
      </w:r>
      <w:r>
        <w:rPr>
          <w:rFonts w:ascii="Arial" w:hAnsi="Arial" w:cs="Arial"/>
        </w:rPr>
        <w:t>, if the latest agreed LCR is available for 202</w:t>
      </w:r>
      <w:r w:rsidR="001E28B7">
        <w:rPr>
          <w:rFonts w:ascii="Arial" w:hAnsi="Arial" w:cs="Arial"/>
        </w:rPr>
        <w:t>6</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w:t>
      </w:r>
      <w:r>
        <w:rPr>
          <w:rFonts w:ascii="Arial" w:hAnsi="Arial" w:cs="Arial"/>
        </w:rPr>
        <w:lastRenderedPageBreak/>
        <w:t xml:space="preserve">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5"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6"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w:t>
      </w:r>
      <w:r w:rsidRPr="00247C18">
        <w:rPr>
          <w:rFonts w:ascii="Arial" w:hAnsi="Arial" w:cs="Arial"/>
          <w:color w:val="000000"/>
        </w:rPr>
        <w:lastRenderedPageBreak/>
        <w:t>the basis of the market value of those financial instruments. Lloyd’s does not expect syndicates to calculate technical provisions as a whole</w:t>
      </w:r>
      <w:r>
        <w:rPr>
          <w:rFonts w:ascii="Arial" w:hAnsi="Arial" w:cs="Arial"/>
          <w:color w:val="000000"/>
        </w:rPr>
        <w:t xml:space="preserve">, however,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57E8E0DB"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7"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lastRenderedPageBreak/>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8"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59"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lastRenderedPageBreak/>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61"/>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SR440: Premiums, claims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lastRenderedPageBreak/>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SR450: Life premiums, claims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lastRenderedPageBreak/>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3EAF4EA2"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6687EC8"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1E28B7">
              <w:rPr>
                <w:rFonts w:ascii="Arial" w:hAnsi="Arial" w:cs="Arial"/>
                <w:b/>
              </w:rPr>
              <w:t>5</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1D4A801"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706AAF4" w:rsidR="00311347" w:rsidRPr="00887B22" w:rsidRDefault="00F51721" w:rsidP="00305FEC">
            <w:pPr>
              <w:rPr>
                <w:rFonts w:ascii="Arial" w:hAnsi="Arial" w:cs="Arial"/>
              </w:rPr>
            </w:pPr>
            <w:r>
              <w:rPr>
                <w:rFonts w:ascii="Arial" w:hAnsi="Arial" w:cs="Arial"/>
              </w:rPr>
              <w:t>202</w:t>
            </w:r>
            <w:r w:rsidR="001E28B7">
              <w:rPr>
                <w:rFonts w:ascii="Arial" w:hAnsi="Arial" w:cs="Arial"/>
              </w:rPr>
              <w:t>5</w:t>
            </w:r>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BAE0CD8"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1E28B7">
              <w:rPr>
                <w:rFonts w:ascii="Arial" w:hAnsi="Arial" w:cs="Arial"/>
              </w:rPr>
              <w:t>5</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4785E683"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1E28B7">
              <w:rPr>
                <w:rFonts w:ascii="Arial" w:hAnsi="Arial" w:cs="Arial"/>
              </w:rPr>
              <w:t>6</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3CAF232"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1E28B7">
        <w:rPr>
          <w:rFonts w:ascii="Arial" w:hAnsi="Arial" w:cs="Arial"/>
        </w:rPr>
        <w:t>5</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YoA (unincepted by </w:t>
      </w:r>
      <w:r w:rsidR="00A8799C">
        <w:rPr>
          <w:rFonts w:ascii="Arial" w:hAnsi="Arial" w:cs="Arial"/>
        </w:rPr>
        <w:t>20</w:t>
      </w:r>
      <w:r w:rsidR="00727DA0">
        <w:rPr>
          <w:rFonts w:ascii="Arial" w:hAnsi="Arial" w:cs="Arial"/>
        </w:rPr>
        <w:t>2</w:t>
      </w:r>
      <w:r w:rsidR="001E28B7">
        <w:rPr>
          <w:rFonts w:ascii="Arial" w:hAnsi="Arial" w:cs="Arial"/>
        </w:rPr>
        <w:t>5</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1E28B7">
        <w:rPr>
          <w:rFonts w:ascii="Arial" w:hAnsi="Arial" w:cs="Arial"/>
        </w:rPr>
        <w:t>5</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1E28B7">
        <w:rPr>
          <w:rFonts w:ascii="Arial" w:hAnsi="Arial" w:cs="Arial"/>
        </w:rPr>
        <w:t>5</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lastRenderedPageBreak/>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71"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71"/>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2" w:name="_Toc352675407"/>
      <w:r w:rsidR="004A1C88" w:rsidRPr="00890390">
        <w:rPr>
          <w:rFonts w:ascii="Arial" w:hAnsi="Arial" w:cs="Arial"/>
          <w:b/>
          <w:sz w:val="22"/>
          <w:szCs w:val="22"/>
        </w:rPr>
        <w:t>SR511: Minimum Capital Requirement – Life</w:t>
      </w:r>
      <w:bookmarkEnd w:id="2872"/>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lastRenderedPageBreak/>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lastRenderedPageBreak/>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91D871D" w:rsidR="00592045" w:rsidRPr="006C2744" w:rsidRDefault="00592045">
      <w:pPr>
        <w:pStyle w:val="Heading3"/>
        <w:numPr>
          <w:ilvl w:val="0"/>
          <w:numId w:val="0"/>
        </w:numPr>
        <w:rPr>
          <w:rFonts w:cs="Arial"/>
          <w:sz w:val="20"/>
        </w:rPr>
      </w:pPr>
      <w:r w:rsidRPr="006C2744">
        <w:rPr>
          <w:rFonts w:cs="Arial"/>
          <w:sz w:val="20"/>
        </w:rPr>
        <w:t>Transfers from the LATF cannot exceed any surplus.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3" w:name="_Toc352675431"/>
      <w:r>
        <w:t>QAD</w:t>
      </w:r>
      <w:r w:rsidRPr="00FD257A">
        <w:t>010</w:t>
      </w:r>
      <w:r>
        <w:t>:</w:t>
      </w:r>
      <w:r w:rsidRPr="00FD257A">
        <w:t xml:space="preserve"> Control page</w:t>
      </w:r>
      <w:bookmarkEnd w:id="2873"/>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9"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4" w:name="_Toc343003102"/>
      <w:bookmarkStart w:id="287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4"/>
      <w:bookmarkEnd w:id="2875"/>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A9AC951"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4CCBE4"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BE251A">
        <w:rPr>
          <w:rFonts w:ascii="Arial" w:hAnsi="Arial" w:cs="Arial"/>
        </w:rPr>
        <w:t>1</w:t>
      </w:r>
      <w:r w:rsidR="006D4CDB" w:rsidRPr="001013EA">
        <w:rPr>
          <w:rFonts w:ascii="Arial" w:hAnsi="Arial" w:cs="Arial"/>
        </w:rPr>
        <w:t xml:space="preserve"> 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lastRenderedPageBreak/>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6" w:name="_Hlk21510699"/>
      <w:r w:rsidRPr="009224C7">
        <w:rPr>
          <w:rFonts w:ascii="Arial" w:hAnsi="Arial" w:cs="Arial"/>
          <w:lang w:val="en-US"/>
        </w:rPr>
        <w:t xml:space="preserve">1 - Not a participation </w:t>
      </w:r>
    </w:p>
    <w:bookmarkEnd w:id="287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w:t>
      </w:r>
      <w:r w:rsidRPr="00A6029D">
        <w:rPr>
          <w:rFonts w:ascii="Arial" w:hAnsi="Arial" w:cs="Arial"/>
          <w:lang w:val="en-US"/>
        </w:rPr>
        <w:lastRenderedPageBreak/>
        <w:t xml:space="preserve">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 xml:space="preserve">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7"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7"/>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8"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8"/>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79"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9"/>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80" w:name="_Toc343003104"/>
      <w:bookmarkStart w:id="2881" w:name="_Toc352675434"/>
      <w:r w:rsidRPr="00610DA9">
        <w:rPr>
          <w:rFonts w:cs="Arial"/>
          <w:color w:val="auto"/>
          <w:sz w:val="20"/>
        </w:rPr>
        <w:t>QAD233: Derivatives Data – Open Positions</w:t>
      </w:r>
      <w:bookmarkEnd w:id="2880"/>
      <w:bookmarkEnd w:id="2881"/>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82"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82"/>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3"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3"/>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4"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4"/>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5" w:name="_Hlk23176368"/>
      <w:r>
        <w:rPr>
          <w:rFonts w:ascii="Arial" w:hAnsi="Arial" w:cs="Arial"/>
          <w:sz w:val="20"/>
          <w:szCs w:val="20"/>
          <w:lang w:val="en-US"/>
        </w:rPr>
        <w:t>Where CIC is XL## or XT##, solvency II value cannot be nil.</w:t>
      </w:r>
    </w:p>
    <w:bookmarkEnd w:id="2885"/>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86" w:name="_Toc343003107"/>
      <w:bookmarkStart w:id="2887"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6"/>
      <w:bookmarkEnd w:id="2887"/>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lastRenderedPageBreak/>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lastRenderedPageBreak/>
        <w:br w:type="page"/>
      </w:r>
    </w:p>
    <w:p w14:paraId="10EC376E" w14:textId="4AAA2F2B" w:rsidR="00D174D0" w:rsidRPr="00957273" w:rsidRDefault="00D174D0" w:rsidP="00D174D0">
      <w:pPr>
        <w:snapToGrid w:val="0"/>
        <w:spacing w:after="120" w:line="280" w:lineRule="atLeast"/>
        <w:rPr>
          <w:rFonts w:ascii="Arial" w:hAnsi="Arial" w:cs="Arial"/>
          <w:b/>
          <w:lang w:val="fr-FR"/>
        </w:rPr>
      </w:pPr>
      <w:bookmarkStart w:id="2888" w:name="_Toc343263708"/>
      <w:bookmarkStart w:id="2889" w:name="_Toc343263832"/>
      <w:bookmarkStart w:id="2890" w:name="_Toc343263955"/>
      <w:bookmarkStart w:id="2891" w:name="_Toc343264092"/>
      <w:bookmarkStart w:id="2892" w:name="_Toc343264383"/>
      <w:bookmarkStart w:id="2893" w:name="_Toc343266137"/>
      <w:bookmarkStart w:id="2894" w:name="_Toc343267275"/>
      <w:bookmarkStart w:id="2895" w:name="_Toc343263710"/>
      <w:bookmarkStart w:id="2896" w:name="_Toc343263834"/>
      <w:bookmarkStart w:id="2897" w:name="_Toc343263957"/>
      <w:bookmarkStart w:id="2898" w:name="_Toc343264094"/>
      <w:bookmarkStart w:id="2899" w:name="_Toc343264385"/>
      <w:bookmarkStart w:id="2900" w:name="_Toc343266139"/>
      <w:bookmarkStart w:id="2901" w:name="_Toc343267277"/>
      <w:bookmarkStart w:id="2902" w:name="_Toc346893539"/>
      <w:bookmarkStart w:id="2903" w:name="_Toc346896668"/>
      <w:bookmarkStart w:id="2904" w:name="_Toc347127835"/>
      <w:bookmarkStart w:id="2905" w:name="_Toc347131528"/>
      <w:bookmarkStart w:id="2906" w:name="_Toc347133622"/>
      <w:bookmarkStart w:id="2907" w:name="_Toc347135391"/>
      <w:bookmarkStart w:id="2908" w:name="_Toc347138689"/>
      <w:bookmarkStart w:id="2909" w:name="_Toc347152531"/>
      <w:bookmarkStart w:id="2910" w:name="_Toc347152664"/>
      <w:bookmarkStart w:id="2911" w:name="_Toc347153019"/>
      <w:bookmarkStart w:id="2912" w:name="_Toc347214464"/>
      <w:bookmarkStart w:id="2913" w:name="_Toc347303149"/>
      <w:bookmarkStart w:id="2914" w:name="_Toc347387167"/>
      <w:bookmarkStart w:id="2915" w:name="_Toc347477408"/>
      <w:bookmarkStart w:id="2916" w:name="_Toc347493004"/>
      <w:bookmarkStart w:id="2917" w:name="_Toc347494974"/>
      <w:bookmarkStart w:id="2918" w:name="_Toc347501193"/>
      <w:bookmarkStart w:id="2919" w:name="_Toc343263712"/>
      <w:bookmarkStart w:id="2920" w:name="_Toc343263836"/>
      <w:bookmarkStart w:id="2921" w:name="_Toc343263959"/>
      <w:bookmarkStart w:id="2922" w:name="_Toc343264096"/>
      <w:bookmarkStart w:id="2923" w:name="_Toc343264387"/>
      <w:bookmarkStart w:id="2924" w:name="_Toc343266141"/>
      <w:bookmarkStart w:id="2925" w:name="_Toc343267279"/>
      <w:bookmarkStart w:id="2926" w:name="_Toc343263714"/>
      <w:bookmarkStart w:id="2927" w:name="_Toc343263838"/>
      <w:bookmarkStart w:id="2928" w:name="_Toc343263961"/>
      <w:bookmarkStart w:id="2929" w:name="_Toc343264098"/>
      <w:bookmarkStart w:id="2930" w:name="_Toc343264389"/>
      <w:bookmarkStart w:id="2931" w:name="_Toc343266143"/>
      <w:bookmarkStart w:id="2932" w:name="_Toc343267281"/>
      <w:bookmarkStart w:id="2933" w:name="_Toc347152535"/>
      <w:bookmarkStart w:id="2934" w:name="_Toc347152668"/>
      <w:bookmarkStart w:id="2935" w:name="_Toc347153023"/>
      <w:bookmarkStart w:id="2936" w:name="_Toc347214468"/>
      <w:bookmarkStart w:id="2937" w:name="_Toc347303153"/>
      <w:bookmarkStart w:id="2938" w:name="_Toc347387171"/>
      <w:bookmarkStart w:id="2939" w:name="_Toc347477412"/>
      <w:bookmarkStart w:id="2940" w:name="_Toc347493008"/>
      <w:bookmarkStart w:id="2941" w:name="_Toc347494978"/>
      <w:bookmarkStart w:id="2942" w:name="_Toc347501197"/>
      <w:bookmarkStart w:id="2943" w:name="_Toc343263718"/>
      <w:bookmarkStart w:id="2944" w:name="_Toc343263841"/>
      <w:bookmarkStart w:id="2945" w:name="_Toc343263964"/>
      <w:bookmarkStart w:id="2946" w:name="_Toc343264101"/>
      <w:bookmarkStart w:id="2947" w:name="_Toc343264392"/>
      <w:bookmarkStart w:id="2948" w:name="_Toc343266146"/>
      <w:bookmarkStart w:id="2949" w:name="_Toc343267284"/>
      <w:bookmarkStart w:id="2950" w:name="_Toc343263720"/>
      <w:bookmarkStart w:id="2951" w:name="_Toc343263843"/>
      <w:bookmarkStart w:id="2952" w:name="_Toc343263966"/>
      <w:bookmarkStart w:id="2953" w:name="_Toc343264103"/>
      <w:bookmarkStart w:id="2954" w:name="_Toc343264394"/>
      <w:bookmarkStart w:id="2955" w:name="_Toc343266148"/>
      <w:bookmarkStart w:id="2956" w:name="_Toc343267286"/>
      <w:bookmarkStart w:id="2957" w:name="_Toc352149708"/>
      <w:bookmarkStart w:id="2958" w:name="_Toc352149711"/>
      <w:bookmarkStart w:id="2959" w:name="_Toc346886879"/>
      <w:bookmarkStart w:id="2960" w:name="_Toc346893545"/>
      <w:bookmarkStart w:id="2961" w:name="_Toc346896674"/>
      <w:bookmarkStart w:id="2962" w:name="_Toc347127841"/>
      <w:bookmarkStart w:id="2963" w:name="_Toc347131534"/>
      <w:bookmarkStart w:id="2964" w:name="_Toc347133628"/>
      <w:bookmarkStart w:id="2965" w:name="_Toc347135397"/>
      <w:bookmarkStart w:id="2966" w:name="_Toc347138695"/>
      <w:bookmarkStart w:id="2967" w:name="_Toc347152538"/>
      <w:bookmarkStart w:id="2968" w:name="_Toc347152671"/>
      <w:bookmarkStart w:id="2969" w:name="_Toc347153026"/>
      <w:bookmarkStart w:id="2970" w:name="_Toc347214471"/>
      <w:bookmarkStart w:id="2971" w:name="_Toc347303156"/>
      <w:bookmarkStart w:id="2972" w:name="_Toc347387174"/>
      <w:bookmarkStart w:id="2973" w:name="_Toc347477415"/>
      <w:bookmarkStart w:id="2974" w:name="_Toc347493011"/>
      <w:bookmarkStart w:id="2975" w:name="_Toc347494981"/>
      <w:bookmarkStart w:id="2976" w:name="_Toc347501200"/>
      <w:bookmarkStart w:id="2977" w:name="_Toc343263722"/>
      <w:bookmarkStart w:id="2978" w:name="_Toc343263845"/>
      <w:bookmarkStart w:id="2979" w:name="_Toc343263968"/>
      <w:bookmarkStart w:id="2980" w:name="_Toc343264105"/>
      <w:bookmarkStart w:id="2981" w:name="_Toc343264396"/>
      <w:bookmarkStart w:id="2982" w:name="_Toc343266150"/>
      <w:bookmarkStart w:id="2983" w:name="_Toc343267288"/>
      <w:bookmarkStart w:id="2984" w:name="_Toc346893547"/>
      <w:bookmarkStart w:id="2985" w:name="_Toc346896676"/>
      <w:bookmarkStart w:id="2986" w:name="_Toc347127843"/>
      <w:bookmarkStart w:id="2987" w:name="_Toc343263725"/>
      <w:bookmarkStart w:id="2988" w:name="_Toc343263848"/>
      <w:bookmarkStart w:id="2989" w:name="_Toc343263971"/>
      <w:bookmarkStart w:id="2990" w:name="_Toc343264108"/>
      <w:bookmarkStart w:id="2991" w:name="_Toc343264399"/>
      <w:bookmarkStart w:id="2992" w:name="_Toc343266153"/>
      <w:bookmarkStart w:id="2993" w:name="_Toc343267291"/>
      <w:bookmarkStart w:id="2994" w:name="_Toc343263727"/>
      <w:bookmarkStart w:id="2995" w:name="_Toc343263850"/>
      <w:bookmarkStart w:id="2996" w:name="_Toc343263973"/>
      <w:bookmarkStart w:id="2997" w:name="_Toc343264110"/>
      <w:bookmarkStart w:id="2998" w:name="_Toc343264401"/>
      <w:bookmarkStart w:id="2999" w:name="_Toc343266155"/>
      <w:bookmarkStart w:id="3000" w:name="_Toc343267293"/>
      <w:bookmarkStart w:id="3001" w:name="_Toc348103272"/>
      <w:bookmarkStart w:id="3002" w:name="_Toc348103388"/>
      <w:bookmarkStart w:id="3003" w:name="_Toc347153043"/>
      <w:bookmarkStart w:id="3004" w:name="_Toc347214488"/>
      <w:bookmarkStart w:id="3005" w:name="_Toc347303173"/>
      <w:bookmarkStart w:id="3006" w:name="_Toc347387191"/>
      <w:bookmarkStart w:id="3007" w:name="_Toc347477432"/>
      <w:bookmarkStart w:id="3008" w:name="_Toc347493028"/>
      <w:bookmarkStart w:id="3009" w:name="_Toc347494998"/>
      <w:bookmarkStart w:id="3010" w:name="_Toc347501217"/>
      <w:bookmarkStart w:id="3011" w:name="_Toc343003101"/>
      <w:bookmarkStart w:id="3012" w:name="_Toc343263978"/>
      <w:bookmarkStart w:id="3013" w:name="_Toc343264115"/>
      <w:bookmarkStart w:id="3014" w:name="_Toc343264406"/>
      <w:bookmarkStart w:id="3015" w:name="_Toc343266160"/>
      <w:bookmarkStart w:id="3016" w:name="_Toc343267298"/>
      <w:bookmarkStart w:id="3017" w:name="_Toc351994573"/>
      <w:bookmarkStart w:id="3018" w:name="_Toc351994796"/>
      <w:bookmarkStart w:id="3019" w:name="_Toc351996110"/>
      <w:bookmarkStart w:id="3020" w:name="_Toc351994574"/>
      <w:bookmarkStart w:id="3021" w:name="_Toc351994797"/>
      <w:bookmarkStart w:id="3022" w:name="_Toc351996111"/>
      <w:bookmarkStart w:id="3023" w:name="_Toc347153050"/>
      <w:bookmarkStart w:id="3024" w:name="_Toc347214495"/>
      <w:bookmarkStart w:id="3025" w:name="_Toc347303180"/>
      <w:bookmarkStart w:id="3026" w:name="_Toc347387198"/>
      <w:bookmarkStart w:id="3027" w:name="_Toc347477439"/>
      <w:bookmarkStart w:id="3028" w:name="_Toc347493035"/>
      <w:bookmarkStart w:id="3029" w:name="_Toc347495005"/>
      <w:bookmarkStart w:id="3030" w:name="_Toc347501224"/>
      <w:bookmarkStart w:id="3031" w:name="_Toc347153052"/>
      <w:bookmarkStart w:id="3032" w:name="_Toc347214497"/>
      <w:bookmarkStart w:id="3033" w:name="_Toc347303182"/>
      <w:bookmarkStart w:id="3034" w:name="_Toc347387200"/>
      <w:bookmarkStart w:id="3035" w:name="_Toc347477441"/>
      <w:bookmarkStart w:id="3036" w:name="_Toc347493037"/>
      <w:bookmarkStart w:id="3037" w:name="_Toc347495007"/>
      <w:bookmarkStart w:id="3038" w:name="_Toc347501226"/>
      <w:bookmarkStart w:id="3039" w:name="_Toc347387202"/>
      <w:bookmarkStart w:id="3040" w:name="_Toc347477443"/>
      <w:bookmarkStart w:id="3041" w:name="_Toc347493039"/>
      <w:bookmarkStart w:id="3042" w:name="_Toc347495009"/>
      <w:bookmarkStart w:id="3043" w:name="_Toc347501228"/>
      <w:bookmarkStart w:id="3044" w:name="_Toc347387203"/>
      <w:bookmarkStart w:id="3045" w:name="_Toc347477444"/>
      <w:bookmarkStart w:id="3046" w:name="_Toc347493040"/>
      <w:bookmarkStart w:id="3047" w:name="_Toc347495010"/>
      <w:bookmarkStart w:id="3048" w:name="_Toc347501229"/>
      <w:bookmarkStart w:id="3049" w:name="_Toc347387205"/>
      <w:bookmarkStart w:id="3050" w:name="_Toc347477446"/>
      <w:bookmarkStart w:id="3051" w:name="_Toc347493042"/>
      <w:bookmarkStart w:id="3052" w:name="_Toc347495012"/>
      <w:bookmarkStart w:id="3053" w:name="_Toc347501231"/>
      <w:bookmarkStart w:id="3054" w:name="_Toc347387207"/>
      <w:bookmarkStart w:id="3055" w:name="_Toc347477448"/>
      <w:bookmarkStart w:id="3056" w:name="_Toc347493044"/>
      <w:bookmarkStart w:id="3057" w:name="_Toc347495014"/>
      <w:bookmarkStart w:id="3058" w:name="_Toc347501233"/>
      <w:bookmarkStart w:id="3059" w:name="_Toc347477450"/>
      <w:bookmarkStart w:id="3060" w:name="_Toc347493046"/>
      <w:bookmarkStart w:id="3061" w:name="_Toc347495016"/>
      <w:bookmarkStart w:id="3062" w:name="_Toc347501235"/>
      <w:bookmarkStart w:id="3063" w:name="_Toc351994581"/>
      <w:bookmarkStart w:id="3064" w:name="_Toc351994804"/>
      <w:bookmarkStart w:id="3065" w:name="_Toc351996118"/>
      <w:bookmarkStart w:id="3066" w:name="_Toc351994582"/>
      <w:bookmarkStart w:id="3067" w:name="_Toc351994805"/>
      <w:bookmarkStart w:id="3068" w:name="_Toc351996119"/>
      <w:bookmarkStart w:id="3069" w:name="_Toc351994583"/>
      <w:bookmarkStart w:id="3070" w:name="_Toc351994806"/>
      <w:bookmarkStart w:id="3071" w:name="_Toc351996120"/>
      <w:bookmarkStart w:id="3072" w:name="_Toc351994584"/>
      <w:bookmarkStart w:id="3073" w:name="_Toc351994807"/>
      <w:bookmarkStart w:id="3074" w:name="_Toc351996121"/>
      <w:bookmarkStart w:id="3075" w:name="_Toc347493048"/>
      <w:bookmarkStart w:id="3076" w:name="_Toc347495018"/>
      <w:bookmarkStart w:id="3077" w:name="_Toc347501237"/>
      <w:bookmarkStart w:id="3078" w:name="_Toc347477452"/>
      <w:bookmarkStart w:id="3079" w:name="_Toc347493049"/>
      <w:bookmarkStart w:id="3080" w:name="_Toc347495019"/>
      <w:bookmarkStart w:id="3081" w:name="_Toc347501238"/>
      <w:bookmarkStart w:id="3082" w:name="_Toc294772967"/>
      <w:bookmarkStart w:id="3083" w:name="_Toc294774766"/>
      <w:bookmarkStart w:id="3084" w:name="_Toc294776371"/>
      <w:bookmarkStart w:id="3085" w:name="_Toc294777033"/>
      <w:bookmarkStart w:id="3086" w:name="_Toc294777165"/>
      <w:bookmarkStart w:id="3087" w:name="_Toc294777296"/>
      <w:bookmarkStart w:id="3088" w:name="_Toc294777426"/>
      <w:bookmarkStart w:id="3089" w:name="_Toc294777557"/>
      <w:bookmarkStart w:id="3090" w:name="_Toc294777687"/>
      <w:bookmarkStart w:id="3091" w:name="_Toc294779102"/>
      <w:bookmarkStart w:id="3092" w:name="_Toc294779960"/>
      <w:bookmarkStart w:id="3093" w:name="_Toc294785588"/>
      <w:bookmarkStart w:id="3094" w:name="_Toc294791525"/>
      <w:bookmarkStart w:id="3095" w:name="_Toc294793965"/>
      <w:bookmarkStart w:id="3096" w:name="_Toc294794349"/>
      <w:bookmarkStart w:id="3097" w:name="_Toc294794495"/>
      <w:bookmarkStart w:id="3098" w:name="_Toc294794640"/>
      <w:bookmarkStart w:id="3099" w:name="_Toc294794785"/>
      <w:bookmarkStart w:id="3100" w:name="_Toc294794929"/>
      <w:bookmarkStart w:id="3101" w:name="_Toc294795068"/>
      <w:bookmarkStart w:id="3102" w:name="_Toc294795207"/>
      <w:bookmarkStart w:id="3103" w:name="_Toc294795344"/>
      <w:bookmarkStart w:id="3104" w:name="_Toc294795480"/>
      <w:bookmarkStart w:id="3105" w:name="_Toc294797664"/>
      <w:bookmarkStart w:id="3106" w:name="_Toc294858491"/>
      <w:bookmarkStart w:id="3107" w:name="_Toc298767421"/>
      <w:bookmarkStart w:id="3108" w:name="_Toc298771447"/>
      <w:bookmarkStart w:id="3109" w:name="_Toc298853366"/>
      <w:bookmarkStart w:id="3110" w:name="_Toc299548098"/>
      <w:bookmarkStart w:id="3111" w:name="_Toc299548238"/>
      <w:bookmarkStart w:id="3112" w:name="_Toc299548379"/>
      <w:bookmarkStart w:id="3113" w:name="_Toc299549156"/>
      <w:bookmarkStart w:id="3114" w:name="_Toc299549350"/>
      <w:bookmarkStart w:id="3115" w:name="_Toc299549546"/>
      <w:bookmarkStart w:id="3116" w:name="_Toc294772968"/>
      <w:bookmarkStart w:id="3117" w:name="_Toc294774767"/>
      <w:bookmarkStart w:id="3118" w:name="_Toc294776372"/>
      <w:bookmarkStart w:id="3119" w:name="_Toc294777034"/>
      <w:bookmarkStart w:id="3120" w:name="_Toc294777166"/>
      <w:bookmarkStart w:id="3121" w:name="_Toc294777297"/>
      <w:bookmarkStart w:id="3122" w:name="_Toc294777427"/>
      <w:bookmarkStart w:id="3123" w:name="_Toc294777558"/>
      <w:bookmarkStart w:id="3124" w:name="_Toc294777688"/>
      <w:bookmarkStart w:id="3125" w:name="_Toc294779103"/>
      <w:bookmarkStart w:id="3126" w:name="_Toc294779961"/>
      <w:bookmarkStart w:id="3127" w:name="_Toc294785589"/>
      <w:bookmarkStart w:id="3128" w:name="_Toc294791526"/>
      <w:bookmarkStart w:id="3129" w:name="_Toc294793966"/>
      <w:bookmarkStart w:id="3130" w:name="_Toc294794350"/>
      <w:bookmarkStart w:id="3131" w:name="_Toc294794496"/>
      <w:bookmarkStart w:id="3132" w:name="_Toc294794641"/>
      <w:bookmarkStart w:id="3133" w:name="_Toc294794786"/>
      <w:bookmarkStart w:id="3134" w:name="_Toc294794930"/>
      <w:bookmarkStart w:id="3135" w:name="_Toc294795069"/>
      <w:bookmarkStart w:id="3136" w:name="_Toc294795208"/>
      <w:bookmarkStart w:id="3137" w:name="_Toc294795345"/>
      <w:bookmarkStart w:id="3138" w:name="_Toc294795481"/>
      <w:bookmarkStart w:id="3139" w:name="_Toc294797665"/>
      <w:bookmarkStart w:id="3140" w:name="_Toc294858492"/>
      <w:bookmarkStart w:id="3141" w:name="_Toc298767422"/>
      <w:bookmarkStart w:id="3142" w:name="_Toc298771448"/>
      <w:bookmarkStart w:id="3143" w:name="_Toc298853367"/>
      <w:bookmarkStart w:id="3144" w:name="_Toc299548099"/>
      <w:bookmarkStart w:id="3145" w:name="_Toc299548239"/>
      <w:bookmarkStart w:id="3146" w:name="_Toc299548380"/>
      <w:bookmarkStart w:id="3147" w:name="_Toc299549157"/>
      <w:bookmarkStart w:id="3148" w:name="_Toc299549351"/>
      <w:bookmarkStart w:id="3149" w:name="_Toc299549547"/>
      <w:bookmarkStart w:id="3150" w:name="_Toc294772970"/>
      <w:bookmarkStart w:id="3151" w:name="_Toc294774769"/>
      <w:bookmarkStart w:id="3152" w:name="_Toc294776374"/>
      <w:bookmarkStart w:id="3153" w:name="_Toc294777036"/>
      <w:bookmarkStart w:id="3154" w:name="_Toc294777168"/>
      <w:bookmarkStart w:id="3155" w:name="_Toc294777299"/>
      <w:bookmarkStart w:id="3156" w:name="_Toc294777429"/>
      <w:bookmarkStart w:id="3157" w:name="_Toc294777560"/>
      <w:bookmarkStart w:id="3158" w:name="_Toc294777690"/>
      <w:bookmarkStart w:id="3159" w:name="_Toc294779105"/>
      <w:bookmarkStart w:id="3160" w:name="_Toc294779963"/>
      <w:bookmarkStart w:id="3161" w:name="_Toc294785591"/>
      <w:bookmarkStart w:id="3162" w:name="_Toc294791528"/>
      <w:bookmarkStart w:id="3163" w:name="_Toc294793968"/>
      <w:bookmarkStart w:id="3164" w:name="_Toc294794352"/>
      <w:bookmarkStart w:id="3165" w:name="_Toc294794498"/>
      <w:bookmarkStart w:id="3166" w:name="_Toc294794643"/>
      <w:bookmarkStart w:id="3167" w:name="_Toc294794788"/>
      <w:bookmarkStart w:id="3168" w:name="_Toc294794932"/>
      <w:bookmarkStart w:id="3169" w:name="_Toc294795071"/>
      <w:bookmarkStart w:id="3170" w:name="_Toc294795210"/>
      <w:bookmarkStart w:id="3171" w:name="_Toc294795347"/>
      <w:bookmarkStart w:id="3172" w:name="_Toc294795483"/>
      <w:bookmarkStart w:id="3173" w:name="_Toc294797667"/>
      <w:bookmarkStart w:id="3174" w:name="_Toc294858494"/>
      <w:bookmarkStart w:id="3175" w:name="_Toc298767424"/>
      <w:bookmarkStart w:id="3176" w:name="_Toc298771450"/>
      <w:bookmarkStart w:id="3177" w:name="_Toc298853369"/>
      <w:bookmarkStart w:id="3178" w:name="_Toc299548101"/>
      <w:bookmarkStart w:id="3179" w:name="_Toc299548241"/>
      <w:bookmarkStart w:id="3180" w:name="_Toc299548382"/>
      <w:bookmarkStart w:id="3181" w:name="_Toc299549159"/>
      <w:bookmarkStart w:id="3182" w:name="_Toc299549353"/>
      <w:bookmarkStart w:id="3183" w:name="_Toc299549549"/>
      <w:bookmarkStart w:id="3184" w:name="_Toc294772971"/>
      <w:bookmarkStart w:id="3185" w:name="_Toc294774770"/>
      <w:bookmarkStart w:id="3186" w:name="_Toc294776375"/>
      <w:bookmarkStart w:id="3187" w:name="_Toc294777037"/>
      <w:bookmarkStart w:id="3188" w:name="_Toc294777169"/>
      <w:bookmarkStart w:id="3189" w:name="_Toc294777300"/>
      <w:bookmarkStart w:id="3190" w:name="_Toc294777430"/>
      <w:bookmarkStart w:id="3191" w:name="_Toc294777561"/>
      <w:bookmarkStart w:id="3192" w:name="_Toc294777691"/>
      <w:bookmarkStart w:id="3193" w:name="_Toc294779106"/>
      <w:bookmarkStart w:id="3194" w:name="_Toc294779964"/>
      <w:bookmarkStart w:id="3195" w:name="_Toc294785592"/>
      <w:bookmarkStart w:id="3196" w:name="_Toc294791529"/>
      <w:bookmarkStart w:id="3197" w:name="_Toc294793969"/>
      <w:bookmarkStart w:id="3198" w:name="_Toc294794353"/>
      <w:bookmarkStart w:id="3199" w:name="_Toc294794499"/>
      <w:bookmarkStart w:id="3200" w:name="_Toc294794644"/>
      <w:bookmarkStart w:id="3201" w:name="_Toc294794789"/>
      <w:bookmarkStart w:id="3202" w:name="_Toc294794933"/>
      <w:bookmarkStart w:id="3203" w:name="_Toc294795072"/>
      <w:bookmarkStart w:id="3204" w:name="_Toc294795211"/>
      <w:bookmarkStart w:id="3205" w:name="_Toc294795348"/>
      <w:bookmarkStart w:id="3206" w:name="_Toc294795484"/>
      <w:bookmarkStart w:id="3207" w:name="_Toc294797668"/>
      <w:bookmarkStart w:id="3208" w:name="_Toc294858495"/>
      <w:bookmarkStart w:id="3209" w:name="_Toc298767425"/>
      <w:bookmarkStart w:id="3210" w:name="_Toc298771451"/>
      <w:bookmarkStart w:id="3211" w:name="_Toc298853370"/>
      <w:bookmarkStart w:id="3212" w:name="_Toc299548102"/>
      <w:bookmarkStart w:id="3213" w:name="_Toc299548242"/>
      <w:bookmarkStart w:id="3214" w:name="_Toc299548383"/>
      <w:bookmarkStart w:id="3215" w:name="_Toc299549160"/>
      <w:bookmarkStart w:id="3216" w:name="_Toc299549354"/>
      <w:bookmarkStart w:id="3217" w:name="_Toc299549550"/>
      <w:bookmarkStart w:id="3218" w:name="_Toc294772972"/>
      <w:bookmarkStart w:id="3219" w:name="_Toc294774771"/>
      <w:bookmarkStart w:id="3220" w:name="_Toc294776376"/>
      <w:bookmarkStart w:id="3221" w:name="_Toc294777038"/>
      <w:bookmarkStart w:id="3222" w:name="_Toc294777170"/>
      <w:bookmarkStart w:id="3223" w:name="_Toc294777301"/>
      <w:bookmarkStart w:id="3224" w:name="_Toc294777431"/>
      <w:bookmarkStart w:id="3225" w:name="_Toc294777562"/>
      <w:bookmarkStart w:id="3226" w:name="_Toc294777692"/>
      <w:bookmarkStart w:id="3227" w:name="_Toc294779107"/>
      <w:bookmarkStart w:id="3228" w:name="_Toc294779965"/>
      <w:bookmarkStart w:id="3229" w:name="_Toc294785593"/>
      <w:bookmarkStart w:id="3230" w:name="_Toc294791530"/>
      <w:bookmarkStart w:id="3231" w:name="_Toc294793970"/>
      <w:bookmarkStart w:id="3232" w:name="_Toc294794354"/>
      <w:bookmarkStart w:id="3233" w:name="_Toc294794500"/>
      <w:bookmarkStart w:id="3234" w:name="_Toc294794645"/>
      <w:bookmarkStart w:id="3235" w:name="_Toc294794790"/>
      <w:bookmarkStart w:id="3236" w:name="_Toc294794934"/>
      <w:bookmarkStart w:id="3237" w:name="_Toc294795073"/>
      <w:bookmarkStart w:id="3238" w:name="_Toc294795212"/>
      <w:bookmarkStart w:id="3239" w:name="_Toc294795349"/>
      <w:bookmarkStart w:id="3240" w:name="_Toc294795485"/>
      <w:bookmarkStart w:id="3241" w:name="_Toc294797669"/>
      <w:bookmarkStart w:id="3242" w:name="_Toc294858496"/>
      <w:bookmarkStart w:id="3243" w:name="_Toc298767426"/>
      <w:bookmarkStart w:id="3244" w:name="_Toc298771452"/>
      <w:bookmarkStart w:id="3245" w:name="_Toc298853371"/>
      <w:bookmarkStart w:id="3246" w:name="_Toc299548103"/>
      <w:bookmarkStart w:id="3247" w:name="_Toc299548243"/>
      <w:bookmarkStart w:id="3248" w:name="_Toc299548384"/>
      <w:bookmarkStart w:id="3249" w:name="_Toc299549161"/>
      <w:bookmarkStart w:id="3250" w:name="_Toc299549355"/>
      <w:bookmarkStart w:id="3251" w:name="_Toc299549551"/>
      <w:bookmarkStart w:id="3252" w:name="_Toc294772973"/>
      <w:bookmarkStart w:id="3253" w:name="_Toc294774772"/>
      <w:bookmarkStart w:id="3254" w:name="_Toc294776377"/>
      <w:bookmarkStart w:id="3255" w:name="_Toc294777039"/>
      <w:bookmarkStart w:id="3256" w:name="_Toc294777171"/>
      <w:bookmarkStart w:id="3257" w:name="_Toc294777302"/>
      <w:bookmarkStart w:id="3258" w:name="_Toc294777432"/>
      <w:bookmarkStart w:id="3259" w:name="_Toc294777563"/>
      <w:bookmarkStart w:id="3260" w:name="_Toc294777693"/>
      <w:bookmarkStart w:id="3261" w:name="_Toc294779108"/>
      <w:bookmarkStart w:id="3262" w:name="_Toc294779966"/>
      <w:bookmarkStart w:id="3263" w:name="_Toc294785594"/>
      <w:bookmarkStart w:id="3264" w:name="_Toc294791531"/>
      <w:bookmarkStart w:id="3265" w:name="_Toc294793971"/>
      <w:bookmarkStart w:id="3266" w:name="_Toc294794355"/>
      <w:bookmarkStart w:id="3267" w:name="_Toc294794501"/>
      <w:bookmarkStart w:id="3268" w:name="_Toc294794646"/>
      <w:bookmarkStart w:id="3269" w:name="_Toc294794791"/>
      <w:bookmarkStart w:id="3270" w:name="_Toc294794935"/>
      <w:bookmarkStart w:id="3271" w:name="_Toc294795074"/>
      <w:bookmarkStart w:id="3272" w:name="_Toc294795213"/>
      <w:bookmarkStart w:id="3273" w:name="_Toc294795350"/>
      <w:bookmarkStart w:id="3274" w:name="_Toc294795486"/>
      <w:bookmarkStart w:id="3275" w:name="_Toc294797670"/>
      <w:bookmarkStart w:id="3276" w:name="_Toc294858497"/>
      <w:bookmarkStart w:id="3277" w:name="_Toc298767427"/>
      <w:bookmarkStart w:id="3278" w:name="_Toc298771453"/>
      <w:bookmarkStart w:id="3279" w:name="_Toc298853372"/>
      <w:bookmarkStart w:id="3280" w:name="_Toc299548104"/>
      <w:bookmarkStart w:id="3281" w:name="_Toc299548244"/>
      <w:bookmarkStart w:id="3282" w:name="_Toc299548385"/>
      <w:bookmarkStart w:id="3283" w:name="_Toc299549162"/>
      <w:bookmarkStart w:id="3284" w:name="_Toc299549356"/>
      <w:bookmarkStart w:id="3285" w:name="_Toc299549552"/>
      <w:bookmarkStart w:id="3286" w:name="_Toc294772974"/>
      <w:bookmarkStart w:id="3287" w:name="_Toc294774773"/>
      <w:bookmarkStart w:id="3288" w:name="_Toc294776378"/>
      <w:bookmarkStart w:id="3289" w:name="_Toc294777040"/>
      <w:bookmarkStart w:id="3290" w:name="_Toc294777172"/>
      <w:bookmarkStart w:id="3291" w:name="_Toc294777303"/>
      <w:bookmarkStart w:id="3292" w:name="_Toc294777433"/>
      <w:bookmarkStart w:id="3293" w:name="_Toc294777564"/>
      <w:bookmarkStart w:id="3294" w:name="_Toc294777694"/>
      <w:bookmarkStart w:id="3295" w:name="_Toc294779109"/>
      <w:bookmarkStart w:id="3296" w:name="_Toc294779967"/>
      <w:bookmarkStart w:id="3297" w:name="_Toc294785595"/>
      <w:bookmarkStart w:id="3298" w:name="_Toc294791532"/>
      <w:bookmarkStart w:id="3299" w:name="_Toc294793972"/>
      <w:bookmarkStart w:id="3300" w:name="_Toc294794356"/>
      <w:bookmarkStart w:id="3301" w:name="_Toc294794502"/>
      <w:bookmarkStart w:id="3302" w:name="_Toc294794647"/>
      <w:bookmarkStart w:id="3303" w:name="_Toc294794792"/>
      <w:bookmarkStart w:id="3304" w:name="_Toc294794936"/>
      <w:bookmarkStart w:id="3305" w:name="_Toc294795075"/>
      <w:bookmarkStart w:id="3306" w:name="_Toc294795214"/>
      <w:bookmarkStart w:id="3307" w:name="_Toc294795351"/>
      <w:bookmarkStart w:id="3308" w:name="_Toc294795487"/>
      <w:bookmarkStart w:id="3309" w:name="_Toc294797671"/>
      <w:bookmarkStart w:id="3310" w:name="_Toc294858498"/>
      <w:bookmarkStart w:id="3311" w:name="_Toc298767428"/>
      <w:bookmarkStart w:id="3312" w:name="_Toc298771454"/>
      <w:bookmarkStart w:id="3313" w:name="_Toc298853373"/>
      <w:bookmarkStart w:id="3314" w:name="_Toc299548105"/>
      <w:bookmarkStart w:id="3315" w:name="_Toc299548245"/>
      <w:bookmarkStart w:id="3316" w:name="_Toc299548386"/>
      <w:bookmarkStart w:id="3317" w:name="_Toc299549163"/>
      <w:bookmarkStart w:id="3318" w:name="_Toc299549357"/>
      <w:bookmarkStart w:id="3319" w:name="_Toc299549553"/>
      <w:bookmarkStart w:id="3320" w:name="_Toc294772975"/>
      <w:bookmarkStart w:id="3321" w:name="_Toc294774774"/>
      <w:bookmarkStart w:id="3322" w:name="_Toc294776379"/>
      <w:bookmarkStart w:id="3323" w:name="_Toc294777041"/>
      <w:bookmarkStart w:id="3324" w:name="_Toc294777173"/>
      <w:bookmarkStart w:id="3325" w:name="_Toc294777304"/>
      <w:bookmarkStart w:id="3326" w:name="_Toc294777434"/>
      <w:bookmarkStart w:id="3327" w:name="_Toc294777565"/>
      <w:bookmarkStart w:id="3328" w:name="_Toc294777695"/>
      <w:bookmarkStart w:id="3329" w:name="_Toc294779110"/>
      <w:bookmarkStart w:id="3330" w:name="_Toc294779968"/>
      <w:bookmarkStart w:id="3331" w:name="_Toc294785596"/>
      <w:bookmarkStart w:id="3332" w:name="_Toc294791533"/>
      <w:bookmarkStart w:id="3333" w:name="_Toc294793973"/>
      <w:bookmarkStart w:id="3334" w:name="_Toc294794357"/>
      <w:bookmarkStart w:id="3335" w:name="_Toc294794503"/>
      <w:bookmarkStart w:id="3336" w:name="_Toc294794648"/>
      <w:bookmarkStart w:id="3337" w:name="_Toc294794793"/>
      <w:bookmarkStart w:id="3338" w:name="_Toc294794937"/>
      <w:bookmarkStart w:id="3339" w:name="_Toc294795076"/>
      <w:bookmarkStart w:id="3340" w:name="_Toc294795215"/>
      <w:bookmarkStart w:id="3341" w:name="_Toc294795352"/>
      <w:bookmarkStart w:id="3342" w:name="_Toc294795488"/>
      <w:bookmarkStart w:id="3343" w:name="_Toc294797672"/>
      <w:bookmarkStart w:id="3344" w:name="_Toc294858499"/>
      <w:bookmarkStart w:id="3345" w:name="_Toc298767429"/>
      <w:bookmarkStart w:id="3346" w:name="_Toc298771455"/>
      <w:bookmarkStart w:id="3347" w:name="_Toc298853374"/>
      <w:bookmarkStart w:id="3348" w:name="_Toc299548106"/>
      <w:bookmarkStart w:id="3349" w:name="_Toc299548246"/>
      <w:bookmarkStart w:id="3350" w:name="_Toc299548387"/>
      <w:bookmarkStart w:id="3351" w:name="_Toc299549164"/>
      <w:bookmarkStart w:id="3352" w:name="_Toc299549358"/>
      <w:bookmarkStart w:id="3353" w:name="_Toc299549554"/>
      <w:bookmarkStart w:id="3354" w:name="_Toc294772976"/>
      <w:bookmarkStart w:id="3355" w:name="_Toc294774775"/>
      <w:bookmarkStart w:id="3356" w:name="_Toc294776380"/>
      <w:bookmarkStart w:id="3357" w:name="_Toc294777042"/>
      <w:bookmarkStart w:id="3358" w:name="_Toc294777174"/>
      <w:bookmarkStart w:id="3359" w:name="_Toc294777305"/>
      <w:bookmarkStart w:id="3360" w:name="_Toc294777435"/>
      <w:bookmarkStart w:id="3361" w:name="_Toc294777566"/>
      <w:bookmarkStart w:id="3362" w:name="_Toc294777696"/>
      <w:bookmarkStart w:id="3363" w:name="_Toc294779111"/>
      <w:bookmarkStart w:id="3364" w:name="_Toc294779969"/>
      <w:bookmarkStart w:id="3365" w:name="_Toc294785597"/>
      <w:bookmarkStart w:id="3366" w:name="_Toc294791534"/>
      <w:bookmarkStart w:id="3367" w:name="_Toc294793974"/>
      <w:bookmarkStart w:id="3368" w:name="_Toc294794358"/>
      <w:bookmarkStart w:id="3369" w:name="_Toc294794504"/>
      <w:bookmarkStart w:id="3370" w:name="_Toc294794649"/>
      <w:bookmarkStart w:id="3371" w:name="_Toc294794794"/>
      <w:bookmarkStart w:id="3372" w:name="_Toc294794938"/>
      <w:bookmarkStart w:id="3373" w:name="_Toc294795077"/>
      <w:bookmarkStart w:id="3374" w:name="_Toc294795216"/>
      <w:bookmarkStart w:id="3375" w:name="_Toc294795353"/>
      <w:bookmarkStart w:id="3376" w:name="_Toc294795489"/>
      <w:bookmarkStart w:id="3377" w:name="_Toc294797673"/>
      <w:bookmarkStart w:id="3378" w:name="_Toc294858500"/>
      <w:bookmarkStart w:id="3379" w:name="_Toc298767430"/>
      <w:bookmarkStart w:id="3380" w:name="_Toc298771456"/>
      <w:bookmarkStart w:id="3381" w:name="_Toc298853375"/>
      <w:bookmarkStart w:id="3382" w:name="_Toc299548107"/>
      <w:bookmarkStart w:id="3383" w:name="_Toc299548247"/>
      <w:bookmarkStart w:id="3384" w:name="_Toc299548388"/>
      <w:bookmarkStart w:id="3385" w:name="_Toc299549165"/>
      <w:bookmarkStart w:id="3386" w:name="_Toc299549359"/>
      <w:bookmarkStart w:id="3387" w:name="_Toc299549555"/>
      <w:bookmarkStart w:id="3388" w:name="_Toc294772977"/>
      <w:bookmarkStart w:id="3389" w:name="_Toc294774776"/>
      <w:bookmarkStart w:id="3390" w:name="_Toc294776381"/>
      <w:bookmarkStart w:id="3391" w:name="_Toc294777043"/>
      <w:bookmarkStart w:id="3392" w:name="_Toc294777175"/>
      <w:bookmarkStart w:id="3393" w:name="_Toc294777306"/>
      <w:bookmarkStart w:id="3394" w:name="_Toc294777436"/>
      <w:bookmarkStart w:id="3395" w:name="_Toc294777567"/>
      <w:bookmarkStart w:id="3396" w:name="_Toc294777697"/>
      <w:bookmarkStart w:id="3397" w:name="_Toc294779112"/>
      <w:bookmarkStart w:id="3398" w:name="_Toc294779970"/>
      <w:bookmarkStart w:id="3399" w:name="_Toc294785598"/>
      <w:bookmarkStart w:id="3400" w:name="_Toc294791535"/>
      <w:bookmarkStart w:id="3401" w:name="_Toc294793975"/>
      <w:bookmarkStart w:id="3402" w:name="_Toc294794359"/>
      <w:bookmarkStart w:id="3403" w:name="_Toc294794505"/>
      <w:bookmarkStart w:id="3404" w:name="_Toc294794650"/>
      <w:bookmarkStart w:id="3405" w:name="_Toc294794795"/>
      <w:bookmarkStart w:id="3406" w:name="_Toc294794939"/>
      <w:bookmarkStart w:id="3407" w:name="_Toc294795078"/>
      <w:bookmarkStart w:id="3408" w:name="_Toc294795217"/>
      <w:bookmarkStart w:id="3409" w:name="_Toc294795354"/>
      <w:bookmarkStart w:id="3410" w:name="_Toc294795490"/>
      <w:bookmarkStart w:id="3411" w:name="_Toc294797674"/>
      <w:bookmarkStart w:id="3412" w:name="_Toc294858501"/>
      <w:bookmarkStart w:id="3413" w:name="_Toc298767431"/>
      <w:bookmarkStart w:id="3414" w:name="_Toc298771457"/>
      <w:bookmarkStart w:id="3415" w:name="_Toc298853376"/>
      <w:bookmarkStart w:id="3416" w:name="_Toc299548108"/>
      <w:bookmarkStart w:id="3417" w:name="_Toc299548248"/>
      <w:bookmarkStart w:id="3418" w:name="_Toc299548389"/>
      <w:bookmarkStart w:id="3419" w:name="_Toc299549166"/>
      <w:bookmarkStart w:id="3420" w:name="_Toc299549360"/>
      <w:bookmarkStart w:id="3421" w:name="_Toc299549556"/>
      <w:bookmarkStart w:id="3422" w:name="QMR001"/>
      <w:bookmarkStart w:id="3423" w:name="_Toc214781853"/>
      <w:bookmarkStart w:id="3424" w:name="_Toc214782709"/>
      <w:bookmarkStart w:id="3425" w:name="_Toc215388564"/>
      <w:bookmarkStart w:id="3426" w:name="_Toc214683231"/>
      <w:bookmarkStart w:id="3427" w:name="_Toc214683404"/>
      <w:bookmarkStart w:id="3428" w:name="_Toc214693790"/>
      <w:bookmarkStart w:id="3429" w:name="_Toc214781854"/>
      <w:bookmarkStart w:id="3430" w:name="_Toc214782710"/>
      <w:bookmarkStart w:id="3431" w:name="_Toc215388565"/>
      <w:bookmarkStart w:id="3432" w:name="QMR002"/>
      <w:bookmarkStart w:id="3433" w:name="_Toc274637388"/>
      <w:bookmarkStart w:id="3434" w:name="_Toc278527952"/>
      <w:bookmarkStart w:id="3435" w:name="_Toc274637389"/>
      <w:bookmarkStart w:id="3436" w:name="_Toc278527953"/>
      <w:bookmarkStart w:id="3437" w:name="_Toc274637390"/>
      <w:bookmarkStart w:id="3438" w:name="_Toc278527954"/>
      <w:bookmarkStart w:id="3439" w:name="QMR212"/>
      <w:bookmarkStart w:id="3440" w:name="QMR219u"/>
      <w:bookmarkStart w:id="3441" w:name="_Toc214683246"/>
      <w:bookmarkStart w:id="3442" w:name="_Toc214683420"/>
      <w:bookmarkStart w:id="3443" w:name="_Toc214693807"/>
      <w:bookmarkStart w:id="3444" w:name="_Toc214781871"/>
      <w:bookmarkStart w:id="3445" w:name="_Toc214782727"/>
      <w:bookmarkStart w:id="3446" w:name="_Toc215388582"/>
      <w:bookmarkStart w:id="3447" w:name="_Toc214683247"/>
      <w:bookmarkStart w:id="3448" w:name="_Toc214683421"/>
      <w:bookmarkStart w:id="3449" w:name="_Toc214693808"/>
      <w:bookmarkStart w:id="3450" w:name="_Toc214781872"/>
      <w:bookmarkStart w:id="3451" w:name="_Toc214782728"/>
      <w:bookmarkStart w:id="3452" w:name="_Toc215388583"/>
      <w:bookmarkStart w:id="3453" w:name="QMR800"/>
      <w:bookmarkStart w:id="3454" w:name="_Toc299549171"/>
      <w:bookmarkStart w:id="3455" w:name="_Toc299549365"/>
      <w:bookmarkStart w:id="3456" w:name="_Toc299549172"/>
      <w:bookmarkStart w:id="3457" w:name="_Toc299549366"/>
      <w:bookmarkStart w:id="3458" w:name="_Toc299549173"/>
      <w:bookmarkStart w:id="3459" w:name="_Toc299549367"/>
      <w:bookmarkStart w:id="3460" w:name="_Toc299549174"/>
      <w:bookmarkStart w:id="3461" w:name="_Toc299549368"/>
      <w:bookmarkStart w:id="3462" w:name="_Toc299549175"/>
      <w:bookmarkStart w:id="3463" w:name="_Toc299549369"/>
      <w:bookmarkStart w:id="3464" w:name="_Toc299549176"/>
      <w:bookmarkStart w:id="3465" w:name="_Toc299549370"/>
      <w:bookmarkStart w:id="3466" w:name="_Toc299549177"/>
      <w:bookmarkStart w:id="3467" w:name="_Toc299549371"/>
      <w:bookmarkStart w:id="3468" w:name="_Toc299549178"/>
      <w:bookmarkStart w:id="3469" w:name="_Toc299549372"/>
      <w:bookmarkStart w:id="3470" w:name="_Toc299549179"/>
      <w:bookmarkStart w:id="3471" w:name="_Toc299549373"/>
      <w:bookmarkStart w:id="3472" w:name="_Toc299549180"/>
      <w:bookmarkStart w:id="3473" w:name="_Toc299549374"/>
      <w:bookmarkStart w:id="3474" w:name="_Toc299549181"/>
      <w:bookmarkStart w:id="3475" w:name="_Toc299549375"/>
      <w:bookmarkStart w:id="3476" w:name="_Toc299549182"/>
      <w:bookmarkStart w:id="3477" w:name="_Toc299549376"/>
      <w:bookmarkStart w:id="3478" w:name="_Toc299549184"/>
      <w:bookmarkStart w:id="3479" w:name="_Toc299549378"/>
      <w:bookmarkStart w:id="3480" w:name="_Toc299549186"/>
      <w:bookmarkStart w:id="3481" w:name="_Toc299549380"/>
      <w:bookmarkStart w:id="3482" w:name="_Toc299549218"/>
      <w:bookmarkStart w:id="3483" w:name="_Toc299549412"/>
      <w:bookmarkStart w:id="3484" w:name="_Toc299549220"/>
      <w:bookmarkStart w:id="3485" w:name="_Toc299549414"/>
      <w:bookmarkStart w:id="3486" w:name="_Toc299549221"/>
      <w:bookmarkStart w:id="3487" w:name="_Toc299549415"/>
      <w:bookmarkStart w:id="3488" w:name="_Toc299549222"/>
      <w:bookmarkStart w:id="3489" w:name="_Toc299549416"/>
      <w:bookmarkStart w:id="3490" w:name="_Toc299549223"/>
      <w:bookmarkStart w:id="3491" w:name="_Toc299549417"/>
      <w:bookmarkStart w:id="3492" w:name="_Toc299549224"/>
      <w:bookmarkStart w:id="3493" w:name="_Toc299549418"/>
      <w:bookmarkStart w:id="3494" w:name="_Toc242525169"/>
      <w:bookmarkStart w:id="3495" w:name="_Toc242610294"/>
      <w:bookmarkStart w:id="3496" w:name="_Toc243109524"/>
      <w:bookmarkStart w:id="3497" w:name="_Toc243197758"/>
      <w:bookmarkStart w:id="3498" w:name="_Toc243205415"/>
      <w:bookmarkStart w:id="3499" w:name="_Toc243205547"/>
      <w:bookmarkStart w:id="3500" w:name="_Toc243795704"/>
      <w:bookmarkStart w:id="3501" w:name="_Toc243820534"/>
      <w:bookmarkStart w:id="3502" w:name="_Toc245090509"/>
      <w:bookmarkStart w:id="3503" w:name="_Toc242525170"/>
      <w:bookmarkStart w:id="3504" w:name="_Toc242610295"/>
      <w:bookmarkStart w:id="3505" w:name="_Toc243109525"/>
      <w:bookmarkStart w:id="3506" w:name="_Toc243197759"/>
      <w:bookmarkStart w:id="3507" w:name="_Toc243205416"/>
      <w:bookmarkStart w:id="3508" w:name="_Toc243205548"/>
      <w:bookmarkStart w:id="3509" w:name="_Toc243795705"/>
      <w:bookmarkStart w:id="3510" w:name="_Toc243820535"/>
      <w:bookmarkStart w:id="3511" w:name="_Toc245090510"/>
      <w:bookmarkStart w:id="3512" w:name="_Toc299549225"/>
      <w:bookmarkStart w:id="3513" w:name="_Toc299549419"/>
      <w:bookmarkStart w:id="3514" w:name="_Toc299549226"/>
      <w:bookmarkStart w:id="3515" w:name="_Toc299549420"/>
      <w:bookmarkStart w:id="3516" w:name="_Toc299549227"/>
      <w:bookmarkStart w:id="3517" w:name="_Toc299549421"/>
      <w:bookmarkStart w:id="3518" w:name="_Toc299549228"/>
      <w:bookmarkStart w:id="3519" w:name="_Toc299549422"/>
      <w:bookmarkStart w:id="3520" w:name="_Toc299549229"/>
      <w:bookmarkStart w:id="3521" w:name="_Toc299549423"/>
      <w:bookmarkStart w:id="3522" w:name="_Toc299549230"/>
      <w:bookmarkStart w:id="3523" w:name="_Toc299549424"/>
      <w:bookmarkStart w:id="3524" w:name="_Toc299549231"/>
      <w:bookmarkStart w:id="3525" w:name="_Toc299549425"/>
      <w:bookmarkStart w:id="3526" w:name="_Toc299549232"/>
      <w:bookmarkStart w:id="3527" w:name="_Toc299549426"/>
      <w:bookmarkStart w:id="3528" w:name="_Toc299549233"/>
      <w:bookmarkStart w:id="3529" w:name="_Toc299549427"/>
      <w:bookmarkStart w:id="3530" w:name="_Toc299549234"/>
      <w:bookmarkStart w:id="3531" w:name="_Toc299549428"/>
      <w:bookmarkStart w:id="3532" w:name="_Toc299549236"/>
      <w:bookmarkStart w:id="3533" w:name="_Toc299549430"/>
      <w:bookmarkStart w:id="3534" w:name="QMR192"/>
      <w:bookmarkStart w:id="3535" w:name="QMR104"/>
      <w:bookmarkStart w:id="3536" w:name="_Toc257638834"/>
      <w:bookmarkStart w:id="3537" w:name="_Toc257638835"/>
      <w:bookmarkStart w:id="3538" w:name="QMR260"/>
      <w:bookmarkStart w:id="3539" w:name="QMR270u"/>
      <w:bookmarkStart w:id="3540" w:name="QMR290"/>
      <w:bookmarkStart w:id="3541" w:name="QMR610u"/>
      <w:bookmarkStart w:id="3542" w:name="_Toc243795732"/>
      <w:bookmarkStart w:id="3543" w:name="_Toc243820562"/>
      <w:bookmarkStart w:id="3544" w:name="_Toc245090537"/>
      <w:bookmarkStart w:id="3545" w:name="QMR650u"/>
      <w:bookmarkStart w:id="3546" w:name="QMR101"/>
      <w:bookmarkStart w:id="3547" w:name="QMR190"/>
      <w:bookmarkStart w:id="3548" w:name="_Toc274637443"/>
      <w:bookmarkStart w:id="3549" w:name="_Toc278528007"/>
      <w:bookmarkStart w:id="3550" w:name="_Toc274637444"/>
      <w:bookmarkStart w:id="3551" w:name="_Toc278528008"/>
      <w:bookmarkStart w:id="3552" w:name="_Toc274637445"/>
      <w:bookmarkStart w:id="3553" w:name="_Toc278528009"/>
      <w:bookmarkStart w:id="3554" w:name="_Toc257628429"/>
      <w:bookmarkStart w:id="3555" w:name="_Toc257633688"/>
      <w:bookmarkStart w:id="3556" w:name="_Toc257638855"/>
      <w:bookmarkStart w:id="3557" w:name="_Toc242525207"/>
      <w:bookmarkStart w:id="3558" w:name="_Toc242610332"/>
      <w:bookmarkStart w:id="3559" w:name="_Toc243109562"/>
      <w:bookmarkStart w:id="3560" w:name="_Toc243197796"/>
      <w:bookmarkStart w:id="3561" w:name="_Toc243205453"/>
      <w:bookmarkStart w:id="3562" w:name="_Toc243205585"/>
      <w:bookmarkStart w:id="3563" w:name="_Toc243795743"/>
      <w:bookmarkStart w:id="3564" w:name="_Toc243820573"/>
      <w:bookmarkStart w:id="3565" w:name="_Toc245090548"/>
      <w:bookmarkStart w:id="3566" w:name="_Toc242525208"/>
      <w:bookmarkStart w:id="3567" w:name="_Toc242610333"/>
      <w:bookmarkStart w:id="3568" w:name="_Toc243109563"/>
      <w:bookmarkStart w:id="3569" w:name="_Toc243197797"/>
      <w:bookmarkStart w:id="3570" w:name="_Toc243205454"/>
      <w:bookmarkStart w:id="3571" w:name="_Toc243205586"/>
      <w:bookmarkStart w:id="3572" w:name="_Toc243795744"/>
      <w:bookmarkStart w:id="3573" w:name="_Toc243820574"/>
      <w:bookmarkStart w:id="3574" w:name="_Toc245090549"/>
      <w:bookmarkStart w:id="3575" w:name="_Toc242525209"/>
      <w:bookmarkStart w:id="3576" w:name="_Toc242610334"/>
      <w:bookmarkStart w:id="3577" w:name="_Toc243109564"/>
      <w:bookmarkStart w:id="3578" w:name="_Toc243197798"/>
      <w:bookmarkStart w:id="3579" w:name="_Toc243205455"/>
      <w:bookmarkStart w:id="3580" w:name="_Toc243205587"/>
      <w:bookmarkStart w:id="3581" w:name="_Toc243795745"/>
      <w:bookmarkStart w:id="3582" w:name="_Toc243820575"/>
      <w:bookmarkStart w:id="3583" w:name="_Toc245090550"/>
      <w:bookmarkStart w:id="3584" w:name="QMR250"/>
      <w:bookmarkStart w:id="3585" w:name="QMR544u"/>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6E2906">
        <w:rPr>
          <w:rFonts w:ascii="Arial" w:hAnsi="Arial" w:cs="Arial"/>
          <w:b/>
          <w:lang w:val="fr-FR"/>
        </w:rPr>
        <w:t>Complementary</w:t>
      </w:r>
      <w:r w:rsidRPr="00F6319E">
        <w:rPr>
          <w:rFonts w:ascii="Arial" w:hAnsi="Arial" w:cs="Arial"/>
          <w:b/>
          <w:lang w:val="fr-FR"/>
        </w:rPr>
        <w:t xml:space="preserve"> Identification Code (CIC) Table</w:t>
      </w:r>
    </w:p>
    <w:bookmarkStart w:id="3586" w:name="_MON_1772889444"/>
    <w:bookmarkEnd w:id="3586"/>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pt" o:ole="">
            <v:imagedata r:id="rId40" o:title=""/>
          </v:shape>
          <o:OLEObject Type="Embed" ProgID="Excel.Sheet.12" ShapeID="_x0000_i1025" DrawAspect="Icon" ObjectID="_1804684853" r:id="rId41"/>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7" w:name="_MON_1803885337"/>
    <w:bookmarkEnd w:id="3587"/>
    <w:p w14:paraId="5E66244B" w14:textId="0080850A" w:rsidR="00D174D0" w:rsidRDefault="0002759F" w:rsidP="00D174D0">
      <w:pPr>
        <w:snapToGrid w:val="0"/>
        <w:spacing w:after="120" w:line="280" w:lineRule="atLeast"/>
        <w:rPr>
          <w:rFonts w:ascii="Arial" w:hAnsi="Arial" w:cs="Arial"/>
          <w:b/>
          <w:lang w:val="en-US"/>
        </w:rPr>
      </w:pPr>
      <w:r>
        <w:rPr>
          <w:rFonts w:ascii="Arial" w:hAnsi="Arial" w:cs="Arial"/>
          <w:b/>
          <w:lang w:val="en-US"/>
        </w:rPr>
        <w:object w:dxaOrig="1539" w:dyaOrig="997" w14:anchorId="2AA2E1E3">
          <v:shape id="_x0000_i1026" type="#_x0000_t75" style="width:77.5pt;height:49.5pt" o:ole="">
            <v:imagedata r:id="rId42" o:title=""/>
          </v:shape>
          <o:OLEObject Type="Embed" ProgID="Word.Document.8" ShapeID="_x0000_i1026" DrawAspect="Icon" ObjectID="_1804684854" r:id="rId43">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3588" w:name="_MON_1804592813"/>
    <w:bookmarkEnd w:id="3588"/>
    <w:p w14:paraId="41CF377B" w14:textId="09D9FAE5" w:rsidR="00164853" w:rsidRDefault="00497ED6" w:rsidP="00D174D0">
      <w:pPr>
        <w:snapToGrid w:val="0"/>
        <w:spacing w:after="120" w:line="280" w:lineRule="atLeast"/>
        <w:rPr>
          <w:rFonts w:ascii="Arial" w:hAnsi="Arial" w:cs="Arial"/>
          <w:b/>
          <w:lang w:val="en-US"/>
        </w:rPr>
      </w:pPr>
      <w:r>
        <w:rPr>
          <w:rFonts w:ascii="Arial" w:hAnsi="Arial" w:cs="Arial"/>
          <w:b/>
          <w:lang w:val="en-US"/>
        </w:rPr>
        <w:object w:dxaOrig="1596" w:dyaOrig="1033" w14:anchorId="0FEA0ED5">
          <v:shape id="_x0000_i1027" type="#_x0000_t75" style="width:80.5pt;height:52pt" o:ole="">
            <v:imagedata r:id="rId44" o:title=""/>
          </v:shape>
          <o:OLEObject Type="Embed" ProgID="Excel.Sheet.12" ShapeID="_x0000_i1027" DrawAspect="Icon" ObjectID="_1804684855" r:id="rId45"/>
        </w:object>
      </w:r>
      <w:r w:rsidR="0002759F">
        <w:rPr>
          <w:rFonts w:ascii="Arial" w:hAnsi="Arial" w:cs="Arial"/>
          <w:b/>
          <w:lang w:val="en-US"/>
        </w:rPr>
        <w:t xml:space="preserve"> </w:t>
      </w:r>
      <w:bookmarkStart w:id="3589" w:name="_MON_1804010211"/>
      <w:bookmarkEnd w:id="3589"/>
      <w:r>
        <w:rPr>
          <w:rFonts w:ascii="Arial" w:hAnsi="Arial" w:cs="Arial"/>
          <w:b/>
          <w:lang w:val="en-US"/>
        </w:rPr>
        <w:object w:dxaOrig="1596" w:dyaOrig="1033" w14:anchorId="2CD8DC0E">
          <v:shape id="_x0000_i1028" type="#_x0000_t75" style="width:80.5pt;height:52pt" o:ole="">
            <v:imagedata r:id="rId46" o:title=""/>
          </v:shape>
          <o:OLEObject Type="Embed" ProgID="Excel.Sheet.12" ShapeID="_x0000_i1028" DrawAspect="Icon" ObjectID="_1804684856" r:id="rId47"/>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90" w:name="_MON_1756635749"/>
    <w:bookmarkEnd w:id="3590"/>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9" type="#_x0000_t75" style="width:81.5pt;height:51pt" o:ole="">
            <v:imagedata r:id="rId48" o:title=""/>
          </v:shape>
          <o:OLEObject Type="Embed" ProgID="Excel.Sheet.12" ShapeID="_x0000_i1029" DrawAspect="Icon" ObjectID="_1804684857" r:id="rId49"/>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bookmarkStart w:id="3591" w:name="_MON_1787645219"/>
    <w:bookmarkEnd w:id="3591"/>
    <w:p w14:paraId="07DB85CA" w14:textId="606D3839" w:rsidR="006C3B59" w:rsidRDefault="00D04C50" w:rsidP="00D174D0">
      <w:pPr>
        <w:snapToGrid w:val="0"/>
        <w:spacing w:after="120" w:line="280" w:lineRule="atLeast"/>
        <w:rPr>
          <w:rFonts w:ascii="Arial" w:hAnsi="Arial" w:cs="Arial"/>
          <w:b/>
          <w:lang w:val="en-US"/>
        </w:rPr>
      </w:pPr>
      <w:r>
        <w:rPr>
          <w:rFonts w:ascii="Arial" w:hAnsi="Arial" w:cs="Arial"/>
          <w:b/>
          <w:lang w:val="en-US"/>
        </w:rPr>
        <w:object w:dxaOrig="1075" w:dyaOrig="702" w14:anchorId="2E370EA0">
          <v:shape id="_x0000_i1030" type="#_x0000_t75" style="width:55.5pt;height:37.5pt" o:ole="">
            <v:imagedata r:id="rId50" o:title=""/>
          </v:shape>
          <o:OLEObject Type="Embed" ProgID="Excel.Sheet.12" ShapeID="_x0000_i1030" DrawAspect="Icon" ObjectID="_1804684858" r:id="rId51"/>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592" w:name="_MON_1697549792"/>
    <w:bookmarkEnd w:id="3592"/>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5pt;height:51pt" o:ole="">
            <v:imagedata r:id="rId52" o:title=""/>
          </v:shape>
          <o:OLEObject Type="Embed" ProgID="Word.Document.12" ShapeID="_x0000_i1031" DrawAspect="Icon" ObjectID="_1804684859" r:id="rId53">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83B99" w14:textId="77777777" w:rsidR="00F61E10" w:rsidRDefault="00F61E10">
      <w:r>
        <w:separator/>
      </w:r>
    </w:p>
    <w:p w14:paraId="31932DCE" w14:textId="77777777" w:rsidR="00F61E10" w:rsidRDefault="00F61E10"/>
  </w:endnote>
  <w:endnote w:type="continuationSeparator" w:id="0">
    <w:p w14:paraId="1E8A723F" w14:textId="77777777" w:rsidR="00F61E10" w:rsidRDefault="00F61E10">
      <w:r>
        <w:continuationSeparator/>
      </w:r>
    </w:p>
    <w:p w14:paraId="404DA48B" w14:textId="77777777" w:rsidR="00F61E10" w:rsidRDefault="00F61E10"/>
  </w:endnote>
  <w:endnote w:type="continuationNotice" w:id="1">
    <w:p w14:paraId="1EA16C88" w14:textId="77777777" w:rsidR="00F61E10" w:rsidRDefault="00F61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4A5434A3" w:rsidR="00164853" w:rsidRDefault="00724577">
    <w:pPr>
      <w:pStyle w:val="Footer"/>
    </w:pPr>
    <w:r>
      <w:rPr>
        <w:noProof/>
      </w:rPr>
      <mc:AlternateContent>
        <mc:Choice Requires="wps">
          <w:drawing>
            <wp:anchor distT="0" distB="0" distL="0" distR="0" simplePos="0" relativeHeight="251659264" behindDoc="0" locked="0" layoutInCell="1" allowOverlap="1" wp14:anchorId="1B7428BC" wp14:editId="259CAB21">
              <wp:simplePos x="635" y="635"/>
              <wp:positionH relativeFrom="page">
                <wp:align>center</wp:align>
              </wp:positionH>
              <wp:positionV relativeFrom="page">
                <wp:align>bottom</wp:align>
              </wp:positionV>
              <wp:extent cx="1355090" cy="345440"/>
              <wp:effectExtent l="0" t="0" r="16510" b="0"/>
              <wp:wrapNone/>
              <wp:docPr id="333096288"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77695DC" w14:textId="2B5FF1B7"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7428BC"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477695DC" w14:textId="2B5FF1B7"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57ED67E4" w:rsidR="005B7B96" w:rsidRPr="001C1E23" w:rsidRDefault="00724577">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49B7773C" wp14:editId="39A98698">
              <wp:simplePos x="0" y="10179050"/>
              <wp:positionH relativeFrom="page">
                <wp:align>center</wp:align>
              </wp:positionH>
              <wp:positionV relativeFrom="page">
                <wp:align>bottom</wp:align>
              </wp:positionV>
              <wp:extent cx="1355090" cy="345440"/>
              <wp:effectExtent l="0" t="0" r="16510" b="0"/>
              <wp:wrapNone/>
              <wp:docPr id="1057103017"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10CA66B" w14:textId="0D593E93"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7773C"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710CA66B" w14:textId="0D593E93"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7A703951" w:rsidR="00164853" w:rsidRDefault="00724577">
    <w:pPr>
      <w:pStyle w:val="Footer"/>
    </w:pPr>
    <w:r>
      <w:rPr>
        <w:noProof/>
      </w:rPr>
      <mc:AlternateContent>
        <mc:Choice Requires="wps">
          <w:drawing>
            <wp:anchor distT="0" distB="0" distL="0" distR="0" simplePos="0" relativeHeight="251658240" behindDoc="0" locked="0" layoutInCell="1" allowOverlap="1" wp14:anchorId="3E53D675" wp14:editId="2E049470">
              <wp:simplePos x="635" y="635"/>
              <wp:positionH relativeFrom="page">
                <wp:align>center</wp:align>
              </wp:positionH>
              <wp:positionV relativeFrom="page">
                <wp:align>bottom</wp:align>
              </wp:positionV>
              <wp:extent cx="1355090" cy="345440"/>
              <wp:effectExtent l="0" t="0" r="16510" b="0"/>
              <wp:wrapNone/>
              <wp:docPr id="328846717"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3C34131" w14:textId="24A8FCA6"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3D675"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73C34131" w14:textId="24A8FCA6" w:rsidR="00724577" w:rsidRPr="00724577" w:rsidRDefault="00724577" w:rsidP="00724577">
                    <w:pPr>
                      <w:rPr>
                        <w:rFonts w:ascii="Calibri" w:eastAsia="Calibri" w:hAnsi="Calibri" w:cs="Calibri"/>
                        <w:noProof/>
                        <w:color w:val="000000"/>
                      </w:rPr>
                    </w:pPr>
                    <w:r w:rsidRPr="00724577">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38E7E" w14:textId="77777777" w:rsidR="00F61E10" w:rsidRDefault="00F61E10">
      <w:r>
        <w:separator/>
      </w:r>
    </w:p>
    <w:p w14:paraId="1CDE3BA9" w14:textId="77777777" w:rsidR="00F61E10" w:rsidRDefault="00F61E10"/>
  </w:footnote>
  <w:footnote w:type="continuationSeparator" w:id="0">
    <w:p w14:paraId="612F582D" w14:textId="77777777" w:rsidR="00F61E10" w:rsidRDefault="00F61E10">
      <w:r>
        <w:continuationSeparator/>
      </w:r>
    </w:p>
    <w:p w14:paraId="7056B041" w14:textId="77777777" w:rsidR="00F61E10" w:rsidRDefault="00F61E10"/>
  </w:footnote>
  <w:footnote w:type="continuationNotice" w:id="1">
    <w:p w14:paraId="53C83BEA" w14:textId="77777777" w:rsidR="00F61E10" w:rsidRDefault="00F61E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2F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04"/>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577"/>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1E10"/>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mailto:Lloyds-SolvencyReturns@lloyds.com" TargetMode="External"/><Relationship Id="rId39" Type="http://schemas.openxmlformats.org/officeDocument/2006/relationships/hyperlink" Target="mailto:Lloyds-SolvencyReturns@lloyds.com" TargetMode="External"/><Relationship Id="rId21" Type="http://schemas.openxmlformats.org/officeDocument/2006/relationships/image" Target="media/image3.wmf"/><Relationship Id="rId34" Type="http://schemas.openxmlformats.org/officeDocument/2006/relationships/hyperlink" Target="https://www.bankofengland.co.uk/prudential-regulation/key-initiatives/solvency-ii/technical-information" TargetMode="External"/><Relationship Id="rId42" Type="http://schemas.openxmlformats.org/officeDocument/2006/relationships/image" Target="media/image5.emf"/><Relationship Id="rId47" Type="http://schemas.openxmlformats.org/officeDocument/2006/relationships/package" Target="embeddings/Microsoft_Excel_Worksheet2.xlsx"/><Relationship Id="rId50" Type="http://schemas.openxmlformats.org/officeDocument/2006/relationships/image" Target="media/image9.emf"/><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ssets.lloyds.com/media/57a17403-c9b4-4ac9-873c-157c176c27b5/Y4920.pdf" TargetMode="External"/><Relationship Id="rId11" Type="http://schemas.openxmlformats.org/officeDocument/2006/relationships/footnotes" Target="footnotes.xml"/><Relationship Id="rId24" Type="http://schemas.openxmlformats.org/officeDocument/2006/relationships/hyperlink" Target="https://communications.lloyds.com/323/6843/uploads/solvency-uk---virtual-market-briefing---27-march-2025-final.pdf" TargetMode="External"/><Relationship Id="rId32"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7" Type="http://schemas.openxmlformats.org/officeDocument/2006/relationships/hyperlink" Target="https://www.lloyds.com/market-resources/underwriting/risk-codes" TargetMode="External"/><Relationship Id="rId40" Type="http://schemas.openxmlformats.org/officeDocument/2006/relationships/image" Target="media/image4.emf"/><Relationship Id="rId45" Type="http://schemas.openxmlformats.org/officeDocument/2006/relationships/package" Target="embeddings/Microsoft_Excel_Worksheet1.xlsx"/><Relationship Id="rId53" Type="http://schemas.openxmlformats.org/officeDocument/2006/relationships/package" Target="embeddings/Microsoft_Word_Document.docx"/><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bankofengland.co.uk/-/media/boe/files/prudential-regulation/publication/2023/solvency-ii-review-considerations-for-year-end-2023.pdf" TargetMode="External"/><Relationship Id="rId44" Type="http://schemas.openxmlformats.org/officeDocument/2006/relationships/image" Target="media/image6.emf"/><Relationship Id="rId52"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bankofengland.co.uk/prudential-regulation/publication/2024/november/review-of-solvency-ii-restatement-of-assimilated-law-policy-statement" TargetMode="External"/><Relationship Id="rId27" Type="http://schemas.openxmlformats.org/officeDocument/2006/relationships/hyperlink" Target="mailto:Lloyds-SolvencyReturns@lloyds.com" TargetMode="External"/><Relationship Id="rId30" Type="http://schemas.openxmlformats.org/officeDocument/2006/relationships/hyperlink" Target="https://assets.lloyds.com/media/fd04de25-80f8-4d72-a0c3-8af9bc6cece7/Lloyd's%20Solvency%20II%20Technical%20Provisions%20Guidance%20-%202024.pdf" TargetMode="External"/><Relationship Id="rId35" Type="http://schemas.openxmlformats.org/officeDocument/2006/relationships/hyperlink" Target="https://assets.lloyds.com/media/fd04de25-80f8-4d72-a0c3-8af9bc6cece7/Lloyd's%20Solvency%20II%20Technical%20Provisions%20Guidance%20-%202024.pdf" TargetMode="External"/><Relationship Id="rId43" Type="http://schemas.openxmlformats.org/officeDocument/2006/relationships/oleObject" Target="embeddings/Microsoft_Word_97_-_2003_Document.doc"/><Relationship Id="rId48" Type="http://schemas.openxmlformats.org/officeDocument/2006/relationships/image" Target="media/image8.emf"/><Relationship Id="rId8" Type="http://schemas.openxmlformats.org/officeDocument/2006/relationships/styles" Target="styles.xml"/><Relationship Id="rId51" Type="http://schemas.openxmlformats.org/officeDocument/2006/relationships/package" Target="embeddings/Microsoft_Excel_Worksheet4.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bankofengland.co.uk/prudential-regulation/publication/2024/november/review-of-solvency-ii-restatement-of-assimilated-law-policy-statement"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https://www.lloyds.com/market-resources/underwriting/risk-codes" TargetMode="External"/><Relationship Id="rId46" Type="http://schemas.openxmlformats.org/officeDocument/2006/relationships/image" Target="media/image7.emf"/><Relationship Id="rId20" Type="http://schemas.openxmlformats.org/officeDocument/2006/relationships/footer" Target="footer3.xml"/><Relationship Id="rId41" Type="http://schemas.openxmlformats.org/officeDocument/2006/relationships/package" Target="embeddings/Microsoft_Excel_Worksheet.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youtube.com/watch?v=3ob8mpjjwz4" TargetMode="External"/><Relationship Id="rId28" Type="http://schemas.openxmlformats.org/officeDocument/2006/relationships/hyperlink" Target="https://assets.lloyds.com/media/fd04de25-80f8-4d72-a0c3-8af9bc6cece7/Lloyd's%20Solvency%20II%20Technical%20Provisions%20Guidance%20-%202024.pdf" TargetMode="External"/><Relationship Id="rId36" Type="http://schemas.openxmlformats.org/officeDocument/2006/relationships/hyperlink" Target="http://www.lloyds.com/~/media/files/the%20market/operating%20at%20lloyds/solvency%20ii/2015%20guidance/technical%20provisions%20guidance%20july%202015.pdf" TargetMode="External"/><Relationship Id="rId49"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2.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3.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4.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5.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828185D-19B0-4020-A9CE-1A4D012A1F0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34468</Words>
  <Characters>196470</Characters>
  <Application>Microsoft Office Word</Application>
  <DocSecurity>0</DocSecurity>
  <Lines>1637</Lines>
  <Paragraphs>460</Paragraphs>
  <ScaleCrop>false</ScaleCrop>
  <Company>Lloyd's</Company>
  <LinksUpToDate>false</LinksUpToDate>
  <CharactersWithSpaces>230478</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2025-03-28T16:34:00Z</dcterms:created>
  <dcterms:modified xsi:type="dcterms:W3CDTF">2025-03-28T16:34:00Z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1399cd7d,13daa560,3f021ca9</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2025-03-28T16:34:35Z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8f991cae-f607-4273-9edd-1f52b60ec516</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